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49016246"/>
      <w:bookmarkEnd w:id="0"/>
      <w:bookmarkStart w:id="1" w:name="_Hlt450039480"/>
      <w:bookmarkEnd w:id="1"/>
      <w:bookmarkStart w:id="2" w:name="_Hlt450051172"/>
      <w:bookmarkEnd w:id="2"/>
      <w:bookmarkStart w:id="3" w:name="_Hlt448930105"/>
      <w:bookmarkEnd w:id="3"/>
      <w:bookmarkStart w:id="4" w:name="_Hlt450066085"/>
      <w:bookmarkEnd w:id="4"/>
      <w:bookmarkStart w:id="5" w:name="_Hlt450066087"/>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                                    R4-2411882</w:t>
      </w:r>
      <w:bookmarkStart w:id="20" w:name="_GoBack"/>
      <w:bookmarkEnd w:id="20"/>
    </w:p>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eastAsiaTheme="minorEastAsia"/>
          <w:b/>
          <w:bCs/>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Sanechips</w:t>
      </w:r>
    </w:p>
    <w:p>
      <w:pPr>
        <w:keepNext/>
        <w:keepLines/>
        <w:pageBreakBefore w:val="0"/>
        <w:widowControl w:val="0"/>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7" w:name="OLE_LINK6"/>
      <w:r>
        <w:rPr>
          <w:rFonts w:hint="eastAsia" w:ascii="Arial" w:hAnsi="Arial"/>
          <w:b/>
          <w:sz w:val="24"/>
          <w:highlight w:val="none"/>
          <w:lang w:val="en-US" w:eastAsia="zh-CN"/>
        </w:rPr>
        <w:t xml:space="preserve">Further discussion on </w:t>
      </w:r>
      <w:bookmarkStart w:id="8" w:name="OLE_LINK10"/>
      <w:r>
        <w:rPr>
          <w:rFonts w:hint="eastAsia" w:ascii="Arial" w:hAnsi="Arial"/>
          <w:b/>
          <w:sz w:val="24"/>
          <w:highlight w:val="none"/>
          <w:lang w:val="en-US" w:eastAsia="zh-CN"/>
        </w:rPr>
        <w:t xml:space="preserve">R19 PC1.5 </w:t>
      </w:r>
      <w:r>
        <w:rPr>
          <w:rFonts w:hint="eastAsia" w:ascii="Arial" w:hAnsi="Arial"/>
          <w:b/>
          <w:sz w:val="24"/>
          <w:highlight w:val="none"/>
          <w:lang w:val="en-US" w:eastAsia="ja-JP"/>
        </w:rPr>
        <w:t>Intra-band UL CA</w:t>
      </w:r>
      <w:bookmarkEnd w:id="7"/>
      <w:bookmarkEnd w:id="8"/>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8.1.1.1.1</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kinsoku/>
        <w:wordWrap/>
        <w:topLinePunct w:val="0"/>
        <w:bidi w:val="0"/>
        <w:snapToGrid w:val="0"/>
        <w:spacing w:before="137" w:beforeLines="50" w:after="120" w:afterLines="50"/>
        <w:rPr>
          <w:rFonts w:hint="default" w:ascii="Times New Roman" w:hAnsi="Times New Roman" w:cs="Times New Roman"/>
          <w:bCs/>
          <w:kern w:val="0"/>
          <w:sz w:val="20"/>
          <w:szCs w:val="20"/>
          <w:highlight w:val="none"/>
          <w:lang w:val="en-US" w:eastAsia="zh-CN"/>
        </w:rPr>
      </w:pPr>
      <w:bookmarkStart w:id="9" w:name="OLE_LINK25"/>
      <w:r>
        <w:rPr>
          <w:rFonts w:hint="eastAsia" w:cs="Times New Roman"/>
          <w:sz w:val="20"/>
          <w:szCs w:val="20"/>
          <w:lang w:val="en-US" w:eastAsia="zh-CN"/>
        </w:rPr>
        <w:t xml:space="preserve">In last meeting, some agreements/open issues are included in the WF[1]. </w:t>
      </w:r>
      <w:r>
        <w:rPr>
          <w:rFonts w:hint="default" w:ascii="Times New Roman" w:hAnsi="Times New Roman" w:cs="Times New Roman"/>
          <w:sz w:val="20"/>
          <w:szCs w:val="20"/>
          <w:lang w:val="en-US" w:eastAsia="zh-CN"/>
        </w:rPr>
        <w:t xml:space="preserve">In this contribution, </w:t>
      </w:r>
      <w:bookmarkStart w:id="10" w:name="OLE_LINK15"/>
      <w:r>
        <w:rPr>
          <w:rFonts w:hint="default" w:ascii="Times New Roman" w:hAnsi="Times New Roman" w:cs="Times New Roman"/>
          <w:sz w:val="20"/>
          <w:szCs w:val="20"/>
          <w:lang w:val="en-US" w:eastAsia="zh-CN"/>
        </w:rPr>
        <w:t xml:space="preserve">we give some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discussion</w:t>
      </w:r>
      <w:r>
        <w:rPr>
          <w:rFonts w:hint="default" w:cs="Times New Roman"/>
          <w:sz w:val="20"/>
          <w:szCs w:val="20"/>
          <w:lang w:val="en-US" w:eastAsia="zh-CN"/>
        </w:rPr>
        <w:t>s</w:t>
      </w:r>
      <w:bookmarkStart w:id="11" w:name="OLE_LINK37"/>
      <w:r>
        <w:rPr>
          <w:rFonts w:hint="default" w:cs="Times New Roman"/>
          <w:sz w:val="20"/>
          <w:szCs w:val="20"/>
          <w:lang w:val="en-US" w:eastAsia="zh-CN"/>
        </w:rPr>
        <w:t xml:space="preserve"> on </w:t>
      </w:r>
      <w:bookmarkEnd w:id="11"/>
      <w:bookmarkStart w:id="12" w:name="OLE_LINK12"/>
      <w:r>
        <w:rPr>
          <w:rFonts w:hint="eastAsia" w:cs="Times New Roman"/>
          <w:sz w:val="20"/>
          <w:szCs w:val="20"/>
          <w:lang w:val="en-US" w:eastAsia="zh-CN"/>
        </w:rPr>
        <w:t>PC1.5 i</w:t>
      </w:r>
      <w:r>
        <w:rPr>
          <w:rFonts w:hint="eastAsia" w:cs="Times New Roman"/>
          <w:sz w:val="20"/>
          <w:szCs w:val="20"/>
          <w:lang w:val="en-US" w:eastAsia="ja-JP"/>
        </w:rPr>
        <w:t>ntra-band contiguous and non-contiguous UL CA</w:t>
      </w:r>
      <w:r>
        <w:rPr>
          <w:rFonts w:hint="eastAsia" w:cs="Times New Roman"/>
          <w:sz w:val="20"/>
          <w:szCs w:val="20"/>
          <w:lang w:val="en-US" w:eastAsia="zh-CN"/>
        </w:rPr>
        <w:t>.</w:t>
      </w:r>
      <w:r>
        <w:rPr>
          <w:rFonts w:hint="default" w:cs="Times New Roman"/>
          <w:sz w:val="20"/>
          <w:szCs w:val="20"/>
          <w:lang w:val="en-US" w:eastAsia="zh-CN"/>
        </w:rPr>
        <w:t xml:space="preserve"> </w:t>
      </w:r>
      <w:bookmarkEnd w:id="10"/>
      <w:bookmarkEnd w:id="12"/>
    </w:p>
    <w:bookmarkEnd w:id="9"/>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bookmarkStart w:id="13" w:name="OLE_LINK11"/>
      <w:bookmarkStart w:id="14" w:name="OLE_LINK28"/>
      <w:bookmarkStart w:id="15" w:name="OLE_LINK66"/>
      <w:bookmarkStart w:id="16" w:name="OLE_LINK23"/>
      <w:r>
        <w:rPr>
          <w:rFonts w:hint="eastAsia" w:cs="Times New Roman"/>
          <w:i w:val="0"/>
          <w:iCs w:val="0"/>
          <w:sz w:val="20"/>
          <w:szCs w:val="22"/>
          <w:highlight w:val="none"/>
          <w:lang w:val="en-US" w:eastAsia="zh-CN"/>
        </w:rPr>
        <w:t>For the duty cycle solution for SAR compliance, the agreement was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2"/>
              <w:keepNext/>
              <w:keepLines/>
              <w:pageBreakBefore w:val="0"/>
              <w:numPr>
                <w:ilvl w:val="0"/>
                <w:numId w:val="0"/>
              </w:numPr>
              <w:kinsoku/>
              <w:wordWrap/>
              <w:overflowPunct w:val="0"/>
              <w:topLinePunct w:val="0"/>
              <w:autoSpaceDE w:val="0"/>
              <w:autoSpaceDN w:val="0"/>
              <w:bidi w:val="0"/>
              <w:adjustRightInd w:val="0"/>
              <w:spacing w:after="180"/>
              <w:ind w:leftChars="0"/>
              <w:textAlignment w:val="baseline"/>
              <w:rPr>
                <w:rFonts w:eastAsia="宋体"/>
                <w:szCs w:val="24"/>
                <w:lang w:eastAsia="zh-CN"/>
              </w:rPr>
            </w:pPr>
            <w:r>
              <w:t>1. General aspect</w:t>
            </w:r>
          </w:p>
          <w:p>
            <w:pPr>
              <w:pStyle w:val="3"/>
              <w:keepNext/>
              <w:keepLines/>
              <w:pageBreakBefore w:val="0"/>
              <w:kinsoku/>
              <w:wordWrap/>
              <w:overflowPunct w:val="0"/>
              <w:topLinePunct w:val="0"/>
              <w:autoSpaceDE w:val="0"/>
              <w:autoSpaceDN w:val="0"/>
              <w:bidi w:val="0"/>
              <w:adjustRightInd w:val="0"/>
              <w:spacing w:after="180"/>
              <w:textAlignment w:val="baseline"/>
              <w:rPr>
                <w:sz w:val="24"/>
                <w:lang w:eastAsia="zh-CN"/>
              </w:rPr>
            </w:pPr>
            <w:r>
              <w:rPr>
                <w:sz w:val="24"/>
              </w:rPr>
              <w:t>1.1 Duty cycle solution for SAR compliance</w:t>
            </w:r>
          </w:p>
          <w:p>
            <w:pPr>
              <w:keepNext/>
              <w:keepLines/>
              <w:pageBreakBefore w:val="0"/>
              <w:kinsoku/>
              <w:wordWrap/>
              <w:overflowPunct/>
              <w:topLinePunct w:val="0"/>
              <w:autoSpaceDE/>
              <w:autoSpaceDN/>
              <w:bidi w:val="0"/>
              <w:adjustRightInd/>
              <w:spacing w:after="120"/>
              <w:textAlignment w:val="auto"/>
              <w:rPr>
                <w:rFonts w:hint="eastAsia" w:cs="Times New Roman"/>
                <w:i w:val="0"/>
                <w:iCs w:val="0"/>
                <w:sz w:val="20"/>
                <w:szCs w:val="22"/>
                <w:highlight w:val="none"/>
                <w:vertAlign w:val="baseline"/>
                <w:lang w:val="en-US" w:eastAsia="zh-CN"/>
              </w:rPr>
            </w:pPr>
            <w:r>
              <w:rPr>
                <w:b/>
                <w:highlight w:val="green"/>
                <w:lang w:eastAsia="zh-CN"/>
              </w:rPr>
              <w:t>Online agreement:</w:t>
            </w:r>
            <w:r>
              <w:rPr>
                <w:rFonts w:eastAsia="宋体"/>
                <w:color w:val="0070C0"/>
                <w:szCs w:val="24"/>
                <w:highlight w:val="green"/>
                <w:lang w:eastAsia="zh-CN"/>
              </w:rPr>
              <w:t xml:space="preserve"> </w:t>
            </w:r>
            <w:r>
              <w:rPr>
                <w:highlight w:val="green"/>
                <w:lang w:eastAsia="zh-CN"/>
              </w:rPr>
              <w:t>Duty cycle solution is considered for both intra-band CA and inter-band CA/EN-DC</w:t>
            </w:r>
          </w:p>
        </w:tc>
      </w:tr>
    </w:tbl>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As discussed before, the duty cycle solution for SAR compliance is never used in the filed. Nevertheless, we think it is still needed to be considered for PC1.5 intra-band CA from the completeness of specification due to duty cycle solution is already defined for PC2 intra-band CA in the spec. Otherwise, it may cause specification improvements or maintenance problem in the future.</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 xml:space="preserve">According to the following general descriptions for intra-band contiguous and non-contiguous CA in sub-clause 4.2:  </w:t>
      </w:r>
    </w:p>
    <w:p>
      <w:pPr>
        <w:pStyle w:val="46"/>
        <w:keepNext/>
        <w:keepLines/>
        <w:pageBreakBefore w:val="0"/>
        <w:kinsoku/>
        <w:wordWrap/>
        <w:topLinePunct w:val="0"/>
        <w:bidi w:val="0"/>
        <w:rPr>
          <w:i/>
          <w:iCs/>
          <w:sz w:val="20"/>
          <w:szCs w:val="20"/>
        </w:rPr>
      </w:pPr>
      <w:r>
        <w:rPr>
          <w:i/>
          <w:iCs/>
          <w:sz w:val="20"/>
          <w:szCs w:val="20"/>
        </w:rPr>
        <w:t>d)</w:t>
      </w:r>
      <w:r>
        <w:rPr>
          <w:i/>
          <w:iCs/>
          <w:sz w:val="20"/>
          <w:szCs w:val="20"/>
        </w:rPr>
        <w:tab/>
      </w:r>
      <w:r>
        <w:rPr>
          <w:i/>
          <w:iCs/>
          <w:sz w:val="20"/>
          <w:szCs w:val="20"/>
        </w:rPr>
        <w:t>All the requirements for intra-band contiguous and non-contiguous CA apply under the assumption of the same slot format indicated by UL-DL-configuration-common in the PCell and SCells for NR SA.</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 xml:space="preserve">The above text are described in power class agnostic manner, so it is nature to be applicable for PC1.5 intra-band contiguous and non-contiguous CA. Due to the component carries in the UL intra-band CA are synchronized, it is feasible to </w:t>
      </w:r>
      <w:r>
        <w:rPr>
          <w:rFonts w:hint="eastAsia" w:eastAsia="宋体" w:cs="Times New Roman"/>
          <w:i w:val="0"/>
          <w:iCs w:val="0"/>
          <w:color w:val="auto"/>
          <w:sz w:val="20"/>
          <w:szCs w:val="22"/>
          <w:highlight w:val="none"/>
          <w:lang w:val="en-US" w:eastAsia="zh-CN"/>
        </w:rPr>
        <w:t>reuse the capability for single carrier case.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iCs/>
          <w:color w:val="auto"/>
          <w:sz w:val="20"/>
          <w:szCs w:val="22"/>
          <w:highlight w:val="none"/>
          <w:lang w:val="en-US" w:eastAsia="zh-CN"/>
        </w:rPr>
      </w:pPr>
      <w:r>
        <w:rPr>
          <w:rFonts w:hint="eastAsia" w:cs="Times New Roman"/>
          <w:b/>
          <w:bCs/>
          <w:i/>
          <w:iCs/>
          <w:sz w:val="20"/>
          <w:szCs w:val="20"/>
          <w:lang w:val="en-US" w:eastAsia="zh-CN"/>
        </w:rPr>
        <w:t xml:space="preserve">Proposal 1: For duty cycle based SAR solution, </w:t>
      </w:r>
      <w:r>
        <w:rPr>
          <w:rFonts w:hint="eastAsia" w:cs="Times New Roman"/>
          <w:b/>
          <w:bCs/>
          <w:i/>
          <w:iCs/>
          <w:color w:val="auto"/>
          <w:sz w:val="20"/>
          <w:szCs w:val="22"/>
          <w:highlight w:val="none"/>
          <w:lang w:val="en-US" w:eastAsia="zh-CN"/>
        </w:rPr>
        <w:t>reu</w:t>
      </w:r>
      <w:r>
        <w:rPr>
          <w:rFonts w:hint="default" w:eastAsia="宋体" w:cs="Times New Roman"/>
          <w:b/>
          <w:bCs/>
          <w:i/>
          <w:iCs/>
          <w:color w:val="auto"/>
          <w:sz w:val="20"/>
          <w:szCs w:val="22"/>
          <w:highlight w:val="none"/>
          <w:lang w:val="en-US" w:eastAsia="zh-CN"/>
        </w:rPr>
        <w:t xml:space="preserve">se the </w:t>
      </w:r>
      <w:r>
        <w:rPr>
          <w:rFonts w:hint="eastAsia" w:cs="Times New Roman"/>
          <w:b/>
          <w:bCs/>
          <w:i/>
          <w:iCs/>
          <w:color w:val="auto"/>
          <w:sz w:val="20"/>
          <w:szCs w:val="22"/>
          <w:highlight w:val="none"/>
          <w:lang w:val="en-US" w:eastAsia="zh-CN"/>
        </w:rPr>
        <w:t xml:space="preserve">PC1.5 </w:t>
      </w:r>
      <w:r>
        <w:rPr>
          <w:rFonts w:hint="default" w:eastAsia="宋体" w:cs="Times New Roman"/>
          <w:b/>
          <w:bCs/>
          <w:i/>
          <w:iCs/>
          <w:color w:val="auto"/>
          <w:sz w:val="20"/>
          <w:szCs w:val="22"/>
          <w:highlight w:val="none"/>
          <w:lang w:val="en-US" w:eastAsia="zh-CN"/>
        </w:rPr>
        <w:t xml:space="preserve">single CC </w:t>
      </w:r>
      <w:r>
        <w:rPr>
          <w:rFonts w:hint="eastAsia" w:eastAsia="宋体" w:cs="Times New Roman"/>
          <w:b/>
          <w:bCs/>
          <w:i/>
          <w:iCs/>
          <w:color w:val="auto"/>
          <w:sz w:val="20"/>
          <w:szCs w:val="22"/>
          <w:highlight w:val="none"/>
          <w:lang w:val="en-US" w:eastAsia="zh-CN"/>
        </w:rPr>
        <w:t>capability for PC1.5 TDD UL intra-band contiguous and non-contiguous CA.</w:t>
      </w:r>
      <w:r>
        <w:rPr>
          <w:rFonts w:hint="eastAsia" w:eastAsia="宋体" w:cs="Times New Roman"/>
          <w:i/>
          <w:iCs/>
          <w:color w:val="auto"/>
          <w:sz w:val="20"/>
          <w:szCs w:val="22"/>
          <w:highlight w:val="none"/>
          <w:lang w:val="en-US" w:eastAsia="zh-CN"/>
        </w:rPr>
        <w:t xml:space="preserve"> </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i w:val="0"/>
          <w:iCs w:val="0"/>
          <w:sz w:val="20"/>
          <w:szCs w:val="22"/>
          <w:highlight w:val="none"/>
          <w:lang w:val="en-US" w:eastAsia="zh-CN"/>
        </w:rPr>
      </w:pPr>
      <w:r>
        <w:rPr>
          <w:rFonts w:hint="eastAsia" w:cs="Times New Roman"/>
          <w:i w:val="0"/>
          <w:iCs w:val="0"/>
          <w:sz w:val="20"/>
          <w:szCs w:val="22"/>
          <w:highlight w:val="none"/>
          <w:lang w:val="en-US" w:eastAsia="zh-CN"/>
        </w:rPr>
        <w:t>P</w:t>
      </w:r>
      <w:r>
        <w:rPr>
          <w:rFonts w:hint="eastAsia" w:cs="Times New Roman"/>
          <w:i w:val="0"/>
          <w:iCs w:val="0"/>
          <w:sz w:val="20"/>
          <w:szCs w:val="22"/>
          <w:highlight w:val="none"/>
          <w:vertAlign w:val="subscript"/>
          <w:lang w:val="en-US" w:eastAsia="zh-CN"/>
        </w:rPr>
        <w:t xml:space="preserve">CMAX,C </w:t>
      </w:r>
      <w:r>
        <w:rPr>
          <w:rFonts w:hint="eastAsia"/>
          <w:lang w:val="en-US" w:eastAsia="zh-CN"/>
        </w:rPr>
        <w:t xml:space="preserve">is the </w:t>
      </w:r>
      <w:r>
        <w:t xml:space="preserve">configured maximum output power </w:t>
      </w:r>
      <w:r>
        <w:rPr>
          <w:lang w:eastAsia="zh-CN"/>
        </w:rPr>
        <w:t>for</w:t>
      </w:r>
      <w:r>
        <w:rPr>
          <w:rFonts w:hint="eastAsia"/>
        </w:rPr>
        <w:t xml:space="preserve"> </w:t>
      </w:r>
      <w:r>
        <w:t>serving cell</w:t>
      </w:r>
      <w:r>
        <w:rPr>
          <w:rFonts w:hint="eastAsia"/>
        </w:rPr>
        <w:t xml:space="preserve"> </w:t>
      </w:r>
      <w:r>
        <w:rPr>
          <w:i/>
        </w:rPr>
        <w:t>c</w:t>
      </w:r>
      <w:r>
        <w:rPr>
          <w:rFonts w:hint="eastAsia"/>
          <w:i w:val="0"/>
          <w:iCs/>
          <w:lang w:val="en-US" w:eastAsia="zh-CN"/>
        </w:rPr>
        <w:t xml:space="preserve">, the </w:t>
      </w:r>
      <w:r>
        <w:rPr>
          <w:rFonts w:hint="eastAsia" w:cs="Times New Roman"/>
          <w:i w:val="0"/>
          <w:iCs w:val="0"/>
          <w:sz w:val="20"/>
          <w:szCs w:val="22"/>
          <w:highlight w:val="none"/>
          <w:lang w:val="en-US" w:eastAsia="zh-CN"/>
        </w:rPr>
        <w:t>agreement was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keepNext/>
              <w:keepLines/>
              <w:pageBreakBefore w:val="0"/>
              <w:widowControl w:val="0"/>
              <w:numPr>
                <w:ilvl w:val="0"/>
                <w:numId w:val="0"/>
              </w:numPr>
              <w:tabs>
                <w:tab w:val="left" w:pos="700"/>
              </w:tabs>
              <w:kinsoku/>
              <w:wordWrap/>
              <w:overflowPunct/>
              <w:topLinePunct w:val="0"/>
              <w:autoSpaceDE/>
              <w:autoSpaceDN/>
              <w:bidi w:val="0"/>
              <w:adjustRightInd/>
              <w:snapToGrid/>
              <w:spacing w:before="120" w:after="120" w:line="240" w:lineRule="auto"/>
              <w:ind w:leftChars="0"/>
              <w:textAlignment w:val="auto"/>
              <w:outlineLvl w:val="3"/>
              <w:rPr>
                <w:sz w:val="20"/>
                <w:szCs w:val="20"/>
                <w:lang w:eastAsia="zh-CN"/>
              </w:rPr>
            </w:pPr>
            <w:r>
              <w:rPr>
                <w:rFonts w:hint="eastAsia"/>
                <w:sz w:val="20"/>
                <w:szCs w:val="20"/>
                <w:lang w:val="en-US" w:eastAsia="zh-CN"/>
              </w:rPr>
              <w:t xml:space="preserve">2.4 </w:t>
            </w:r>
            <w:r>
              <w:rPr>
                <w:sz w:val="20"/>
                <w:szCs w:val="20"/>
              </w:rPr>
              <w:t>P</w:t>
            </w:r>
            <w:r>
              <w:rPr>
                <w:sz w:val="20"/>
                <w:szCs w:val="20"/>
                <w:vertAlign w:val="subscript"/>
              </w:rPr>
              <w:t>CMAX,C</w:t>
            </w:r>
          </w:p>
          <w:p>
            <w:pPr>
              <w:keepNext/>
              <w:keepLines/>
              <w:pageBreakBefore w:val="0"/>
              <w:kinsoku/>
              <w:wordWrap/>
              <w:overflowPunct w:val="0"/>
              <w:topLinePunct w:val="0"/>
              <w:autoSpaceDE w:val="0"/>
              <w:autoSpaceDN w:val="0"/>
              <w:bidi w:val="0"/>
              <w:adjustRightInd w:val="0"/>
              <w:spacing w:after="180"/>
              <w:textAlignment w:val="baseline"/>
              <w:rPr>
                <w:b/>
                <w:sz w:val="20"/>
                <w:szCs w:val="20"/>
                <w:lang w:eastAsia="zh-CN"/>
              </w:rPr>
            </w:pPr>
            <w:bookmarkStart w:id="17" w:name="_Hlk167279856"/>
            <w:r>
              <w:rPr>
                <w:rFonts w:hint="eastAsia"/>
                <w:b/>
                <w:sz w:val="20"/>
                <w:szCs w:val="20"/>
                <w:lang w:eastAsia="zh-CN"/>
              </w:rPr>
              <w:t>P</w:t>
            </w:r>
            <w:r>
              <w:rPr>
                <w:b/>
                <w:sz w:val="20"/>
                <w:szCs w:val="20"/>
                <w:lang w:eastAsia="zh-CN"/>
              </w:rPr>
              <w:t>roposals:</w:t>
            </w:r>
          </w:p>
          <w:bookmarkEnd w:id="17"/>
          <w:p>
            <w:pPr>
              <w:keepNext/>
              <w:keepLines/>
              <w:pageBreakBefore w:val="0"/>
              <w:numPr>
                <w:ilvl w:val="1"/>
                <w:numId w:val="7"/>
              </w:numPr>
              <w:kinsoku/>
              <w:wordWrap/>
              <w:overflowPunct/>
              <w:topLinePunct w:val="0"/>
              <w:autoSpaceDE/>
              <w:autoSpaceDN/>
              <w:bidi w:val="0"/>
              <w:adjustRightInd/>
              <w:spacing w:after="60"/>
              <w:ind w:left="1440"/>
              <w:jc w:val="both"/>
              <w:textAlignment w:val="auto"/>
              <w:rPr>
                <w:rFonts w:eastAsia="MS Mincho"/>
                <w:b/>
                <w:color w:val="0070C0"/>
                <w:sz w:val="20"/>
                <w:szCs w:val="20"/>
                <w:u w:val="single"/>
                <w:lang w:val="en-US" w:eastAsia="ko-KR"/>
              </w:rPr>
            </w:pPr>
            <w:r>
              <w:rPr>
                <w:rFonts w:eastAsia="宋体"/>
                <w:sz w:val="20"/>
                <w:szCs w:val="20"/>
                <w:lang w:eastAsia="zh-CN"/>
              </w:rPr>
              <w:t>Proposal 1: Define P</w:t>
            </w:r>
            <w:r>
              <w:rPr>
                <w:rFonts w:eastAsia="宋体"/>
                <w:sz w:val="20"/>
                <w:szCs w:val="20"/>
                <w:vertAlign w:val="subscript"/>
                <w:lang w:eastAsia="zh-CN"/>
              </w:rPr>
              <w:t>CMAX,c</w:t>
            </w:r>
            <w:r>
              <w:rPr>
                <w:rFonts w:eastAsia="宋体"/>
                <w:sz w:val="20"/>
                <w:szCs w:val="20"/>
                <w:lang w:eastAsia="zh-CN"/>
              </w:rPr>
              <w:t xml:space="preserve"> limitation for each component carrier considering PC1.5 UE architecture of intra-band UL CA. (LGE)</w:t>
            </w:r>
          </w:p>
          <w:p>
            <w:pPr>
              <w:keepNext/>
              <w:keepLines/>
              <w:pageBreakBefore w:val="0"/>
              <w:numPr>
                <w:ilvl w:val="0"/>
                <w:numId w:val="7"/>
              </w:numPr>
              <w:kinsoku/>
              <w:wordWrap/>
              <w:overflowPunct/>
              <w:topLinePunct w:val="0"/>
              <w:autoSpaceDE/>
              <w:autoSpaceDN/>
              <w:bidi w:val="0"/>
              <w:adjustRightInd/>
              <w:spacing w:after="120"/>
              <w:ind w:left="2037" w:leftChars="800" w:hanging="357"/>
              <w:textAlignment w:val="auto"/>
              <w:rPr>
                <w:rFonts w:eastAsia="宋体"/>
                <w:bCs/>
                <w:sz w:val="20"/>
                <w:szCs w:val="20"/>
                <w:lang w:val="en-US" w:eastAsia="ko-KR"/>
              </w:rPr>
            </w:pPr>
            <w:r>
              <w:rPr>
                <w:rFonts w:hint="eastAsia" w:eastAsia="宋体"/>
                <w:bCs/>
                <w:sz w:val="20"/>
                <w:szCs w:val="20"/>
                <w:lang w:val="en-US" w:eastAsia="ko-KR"/>
              </w:rPr>
              <w:t>For dualPA-architecture</w:t>
            </w:r>
          </w:p>
          <w:p>
            <w:pPr>
              <w:keepNext/>
              <w:keepLines/>
              <w:pageBreakBefore w:val="0"/>
              <w:numPr>
                <w:ilvl w:val="1"/>
                <w:numId w:val="7"/>
              </w:numPr>
              <w:kinsoku/>
              <w:wordWrap/>
              <w:overflowPunct/>
              <w:topLinePunct w:val="0"/>
              <w:autoSpaceDE/>
              <w:autoSpaceDN/>
              <w:bidi w:val="0"/>
              <w:adjustRightInd/>
              <w:spacing w:after="120"/>
              <w:ind w:left="2457" w:leftChars="1000" w:hanging="357"/>
              <w:textAlignment w:val="auto"/>
              <w:rPr>
                <w:rFonts w:eastAsia="宋体"/>
                <w:bCs/>
                <w:sz w:val="20"/>
                <w:szCs w:val="20"/>
                <w:lang w:val="en-US" w:eastAsia="ko-KR"/>
              </w:rPr>
            </w:pPr>
            <w:r>
              <w:rPr>
                <w:rFonts w:eastAsia="宋体"/>
                <w:bCs/>
                <w:sz w:val="20"/>
                <w:szCs w:val="20"/>
                <w:lang w:val="en-US" w:eastAsia="ko-KR"/>
              </w:rPr>
              <w:t>P</w:t>
            </w:r>
            <w:r>
              <w:rPr>
                <w:rFonts w:eastAsia="宋体"/>
                <w:bCs/>
                <w:sz w:val="20"/>
                <w:szCs w:val="20"/>
                <w:vertAlign w:val="subscript"/>
                <w:lang w:val="en-US" w:eastAsia="ko-KR"/>
              </w:rPr>
              <w:t>CMAX,C</w:t>
            </w:r>
            <w:r>
              <w:rPr>
                <w:rFonts w:eastAsia="宋体"/>
                <w:bCs/>
                <w:sz w:val="20"/>
                <w:szCs w:val="20"/>
                <w:lang w:val="en-US" w:eastAsia="ko-KR"/>
              </w:rPr>
              <w:t xml:space="preserve"> limitation for each component carrier is 26dBm</w:t>
            </w:r>
          </w:p>
          <w:p>
            <w:pPr>
              <w:keepNext/>
              <w:keepLines/>
              <w:pageBreakBefore w:val="0"/>
              <w:numPr>
                <w:ilvl w:val="0"/>
                <w:numId w:val="7"/>
              </w:numPr>
              <w:kinsoku/>
              <w:wordWrap/>
              <w:overflowPunct/>
              <w:topLinePunct w:val="0"/>
              <w:autoSpaceDE/>
              <w:autoSpaceDN/>
              <w:bidi w:val="0"/>
              <w:adjustRightInd/>
              <w:spacing w:after="120"/>
              <w:ind w:left="2037" w:leftChars="800" w:hanging="357"/>
              <w:textAlignment w:val="auto"/>
              <w:rPr>
                <w:rFonts w:eastAsia="宋体"/>
                <w:bCs/>
                <w:sz w:val="20"/>
                <w:szCs w:val="20"/>
                <w:lang w:val="en-US" w:eastAsia="ko-KR"/>
              </w:rPr>
            </w:pPr>
            <w:r>
              <w:rPr>
                <w:rFonts w:eastAsia="宋体"/>
                <w:bCs/>
                <w:sz w:val="20"/>
                <w:szCs w:val="20"/>
                <w:lang w:val="en-US" w:eastAsia="ko-KR"/>
              </w:rPr>
              <w:t>For TxD (dualTx)</w:t>
            </w:r>
          </w:p>
          <w:p>
            <w:pPr>
              <w:keepNext/>
              <w:keepLines/>
              <w:pageBreakBefore w:val="0"/>
              <w:numPr>
                <w:ilvl w:val="1"/>
                <w:numId w:val="7"/>
              </w:numPr>
              <w:kinsoku/>
              <w:wordWrap/>
              <w:overflowPunct/>
              <w:topLinePunct w:val="0"/>
              <w:autoSpaceDE/>
              <w:autoSpaceDN/>
              <w:bidi w:val="0"/>
              <w:adjustRightInd/>
              <w:spacing w:after="120"/>
              <w:ind w:left="2457" w:leftChars="1000" w:hanging="357"/>
              <w:textAlignment w:val="auto"/>
              <w:rPr>
                <w:rFonts w:eastAsia="宋体"/>
                <w:bCs/>
                <w:sz w:val="20"/>
                <w:szCs w:val="20"/>
                <w:lang w:val="en-US" w:eastAsia="ko-KR"/>
              </w:rPr>
            </w:pPr>
            <w:r>
              <w:rPr>
                <w:rFonts w:eastAsia="宋体"/>
                <w:bCs/>
                <w:sz w:val="20"/>
                <w:szCs w:val="20"/>
                <w:lang w:val="en-US" w:eastAsia="ko-KR"/>
              </w:rPr>
              <w:t>P</w:t>
            </w:r>
            <w:r>
              <w:rPr>
                <w:rFonts w:eastAsia="宋体"/>
                <w:bCs/>
                <w:sz w:val="20"/>
                <w:szCs w:val="20"/>
                <w:vertAlign w:val="subscript"/>
                <w:lang w:val="en-US" w:eastAsia="ko-KR"/>
              </w:rPr>
              <w:t>CMAX,CC1</w:t>
            </w:r>
            <w:r>
              <w:rPr>
                <w:rFonts w:eastAsia="宋体"/>
                <w:bCs/>
                <w:sz w:val="20"/>
                <w:szCs w:val="20"/>
                <w:lang w:val="en-US" w:eastAsia="ko-KR"/>
              </w:rPr>
              <w:t xml:space="preserve"> = </w:t>
            </w:r>
            <m:oMath>
              <m:r>
                <m:rPr>
                  <m:sty m:val="p"/>
                </m:rPr>
                <w:rPr>
                  <w:rFonts w:ascii="Cambria Math" w:hAnsi="Cambria Math" w:eastAsia="宋体"/>
                  <w:sz w:val="20"/>
                  <w:szCs w:val="20"/>
                  <w:lang w:eastAsia="zh-CN"/>
                </w:rPr>
                <m:t>26+10∗</m:t>
              </m:r>
              <m:func>
                <m:funcPr>
                  <m:ctrlPr>
                    <w:rPr>
                      <w:rFonts w:ascii="Cambria Math" w:hAnsi="Cambria Math" w:eastAsia="宋体"/>
                      <w:bCs/>
                      <w:sz w:val="20"/>
                      <w:szCs w:val="20"/>
                      <w:lang w:eastAsia="zh-CN"/>
                    </w:rPr>
                  </m:ctrlPr>
                </m:funcPr>
                <m:fName>
                  <m:sSub>
                    <m:sSubPr>
                      <m:ctrlPr>
                        <w:rPr>
                          <w:rFonts w:ascii="Cambria Math" w:hAnsi="Cambria Math" w:eastAsia="宋体"/>
                          <w:bCs/>
                          <w:sz w:val="20"/>
                          <w:szCs w:val="20"/>
                          <w:lang w:eastAsia="zh-CN"/>
                        </w:rPr>
                      </m:ctrlPr>
                    </m:sSubPr>
                    <m:e>
                      <m:r>
                        <m:rPr>
                          <m:sty m:val="p"/>
                        </m:rPr>
                        <w:rPr>
                          <w:rFonts w:ascii="Cambria Math" w:hAnsi="Cambria Math" w:eastAsia="宋体"/>
                          <w:sz w:val="20"/>
                          <w:szCs w:val="20"/>
                          <w:lang w:eastAsia="zh-CN"/>
                        </w:rPr>
                        <m:t>log</m:t>
                      </m:r>
                      <m:ctrlPr>
                        <w:rPr>
                          <w:rFonts w:ascii="Cambria Math" w:hAnsi="Cambria Math" w:eastAsia="宋体"/>
                          <w:bCs/>
                          <w:sz w:val="20"/>
                          <w:szCs w:val="20"/>
                          <w:lang w:eastAsia="zh-CN"/>
                        </w:rPr>
                      </m:ctrlPr>
                    </m:e>
                    <m:sub>
                      <m:r>
                        <m:rPr/>
                        <w:rPr>
                          <w:rFonts w:ascii="Cambria Math" w:hAnsi="Cambria Math" w:eastAsia="宋体"/>
                          <w:sz w:val="20"/>
                          <w:szCs w:val="20"/>
                          <w:lang w:eastAsia="zh-CN"/>
                        </w:rPr>
                        <m:t>10</m:t>
                      </m:r>
                      <m:ctrlPr>
                        <w:rPr>
                          <w:rFonts w:ascii="Cambria Math" w:hAnsi="Cambria Math" w:eastAsia="宋体"/>
                          <w:bCs/>
                          <w:sz w:val="20"/>
                          <w:szCs w:val="20"/>
                          <w:lang w:eastAsia="zh-CN"/>
                        </w:rPr>
                      </m:ctrlPr>
                    </m:sub>
                  </m:sSub>
                  <m:ctrlPr>
                    <w:rPr>
                      <w:rFonts w:ascii="Cambria Math" w:hAnsi="Cambria Math" w:eastAsia="宋体"/>
                      <w:bCs/>
                      <w:sz w:val="20"/>
                      <w:szCs w:val="20"/>
                      <w:lang w:eastAsia="zh-CN"/>
                    </w:rPr>
                  </m:ctrlPr>
                </m:fName>
                <m:e>
                  <m:r>
                    <m:rPr/>
                    <w:rPr>
                      <w:rFonts w:ascii="Cambria Math" w:hAnsi="Cambria Math" w:eastAsia="宋体"/>
                      <w:sz w:val="20"/>
                      <w:szCs w:val="20"/>
                      <w:lang w:eastAsia="zh-CN"/>
                    </w:rPr>
                    <m:t xml:space="preserve">( </m:t>
                  </m:r>
                  <m:f>
                    <m:fPr>
                      <m:ctrlPr>
                        <w:rPr>
                          <w:rFonts w:ascii="Cambria Math" w:hAnsi="Cambria Math" w:eastAsia="宋体"/>
                          <w:bCs/>
                          <w:i/>
                          <w:sz w:val="20"/>
                          <w:szCs w:val="20"/>
                          <w:lang w:eastAsia="zh-CN"/>
                        </w:rPr>
                      </m:ctrlPr>
                    </m:fPr>
                    <m:num>
                      <m:r>
                        <m:rPr>
                          <m:sty m:val="p"/>
                        </m:rPr>
                        <w:rPr>
                          <w:rFonts w:ascii="Cambria Math" w:hAnsi="Cambria Math" w:eastAsia="宋体"/>
                          <w:sz w:val="20"/>
                          <w:szCs w:val="20"/>
                          <w:lang w:eastAsia="zh-CN"/>
                        </w:rPr>
                        <m:t>LCRB1∗SCS1</m:t>
                      </m:r>
                      <m:ctrlPr>
                        <w:rPr>
                          <w:rFonts w:ascii="Cambria Math" w:hAnsi="Cambria Math" w:eastAsia="宋体"/>
                          <w:bCs/>
                          <w:i/>
                          <w:sz w:val="20"/>
                          <w:szCs w:val="20"/>
                          <w:lang w:eastAsia="zh-CN"/>
                        </w:rPr>
                      </m:ctrlPr>
                    </m:num>
                    <m:den>
                      <m:r>
                        <m:rPr>
                          <m:sty m:val="p"/>
                        </m:rPr>
                        <w:rPr>
                          <w:rFonts w:ascii="Cambria Math" w:hAnsi="Cambria Math" w:eastAsia="宋体"/>
                          <w:sz w:val="20"/>
                          <w:szCs w:val="20"/>
                          <w:lang w:eastAsia="zh-CN"/>
                        </w:rPr>
                        <m:t>LCRB1∗SCS1+LCRB2∗SCS2</m:t>
                      </m:r>
                      <m:ctrlPr>
                        <w:rPr>
                          <w:rFonts w:ascii="Cambria Math" w:hAnsi="Cambria Math" w:eastAsia="宋体"/>
                          <w:bCs/>
                          <w:i/>
                          <w:sz w:val="20"/>
                          <w:szCs w:val="20"/>
                          <w:lang w:eastAsia="zh-CN"/>
                        </w:rPr>
                      </m:ctrlPr>
                    </m:den>
                  </m:f>
                  <m:r>
                    <m:rPr/>
                    <w:rPr>
                      <w:rFonts w:ascii="Cambria Math" w:hAnsi="Cambria Math" w:eastAsia="宋体"/>
                      <w:sz w:val="20"/>
                      <w:szCs w:val="20"/>
                      <w:lang w:eastAsia="zh-CN"/>
                    </w:rPr>
                    <m:t>)+3</m:t>
                  </m:r>
                  <m:ctrlPr>
                    <w:rPr>
                      <w:rFonts w:ascii="Cambria Math" w:hAnsi="Cambria Math" w:eastAsia="宋体"/>
                      <w:bCs/>
                      <w:sz w:val="20"/>
                      <w:szCs w:val="20"/>
                      <w:lang w:eastAsia="zh-CN"/>
                    </w:rPr>
                  </m:ctrlPr>
                </m:e>
              </m:func>
            </m:oMath>
          </w:p>
          <w:p>
            <w:pPr>
              <w:keepNext/>
              <w:keepLines/>
              <w:pageBreakBefore w:val="0"/>
              <w:numPr>
                <w:ilvl w:val="1"/>
                <w:numId w:val="7"/>
              </w:numPr>
              <w:kinsoku/>
              <w:wordWrap/>
              <w:overflowPunct/>
              <w:topLinePunct w:val="0"/>
              <w:autoSpaceDE/>
              <w:autoSpaceDN/>
              <w:bidi w:val="0"/>
              <w:adjustRightInd/>
              <w:spacing w:after="120"/>
              <w:ind w:left="2457" w:leftChars="1000" w:hanging="357"/>
              <w:textAlignment w:val="auto"/>
              <w:rPr>
                <w:rFonts w:eastAsia="宋体"/>
                <w:bCs/>
                <w:sz w:val="20"/>
                <w:szCs w:val="20"/>
                <w:lang w:val="en-US" w:eastAsia="ko-KR"/>
              </w:rPr>
            </w:pPr>
            <w:r>
              <w:rPr>
                <w:rFonts w:eastAsia="宋体"/>
                <w:bCs/>
                <w:sz w:val="20"/>
                <w:szCs w:val="20"/>
                <w:lang w:val="en-US" w:eastAsia="ko-KR"/>
              </w:rPr>
              <w:t>P</w:t>
            </w:r>
            <w:r>
              <w:rPr>
                <w:rFonts w:eastAsia="宋体"/>
                <w:bCs/>
                <w:sz w:val="20"/>
                <w:szCs w:val="20"/>
                <w:vertAlign w:val="subscript"/>
                <w:lang w:val="en-US" w:eastAsia="ko-KR"/>
              </w:rPr>
              <w:t>CMAX,CC2</w:t>
            </w:r>
            <w:r>
              <w:rPr>
                <w:rFonts w:eastAsia="宋体"/>
                <w:bCs/>
                <w:sz w:val="20"/>
                <w:szCs w:val="20"/>
                <w:lang w:val="en-US" w:eastAsia="ko-KR"/>
              </w:rPr>
              <w:t xml:space="preserve"> = </w:t>
            </w:r>
            <m:oMath>
              <m:r>
                <m:rPr>
                  <m:sty m:val="p"/>
                </m:rPr>
                <w:rPr>
                  <w:rFonts w:ascii="Cambria Math" w:hAnsi="Cambria Math" w:eastAsia="宋体"/>
                  <w:sz w:val="20"/>
                  <w:szCs w:val="20"/>
                  <w:lang w:eastAsia="zh-CN"/>
                </w:rPr>
                <m:t>26+10∗</m:t>
              </m:r>
              <m:func>
                <m:funcPr>
                  <m:ctrlPr>
                    <w:rPr>
                      <w:rFonts w:ascii="Cambria Math" w:hAnsi="Cambria Math" w:eastAsia="宋体"/>
                      <w:bCs/>
                      <w:sz w:val="20"/>
                      <w:szCs w:val="20"/>
                      <w:lang w:eastAsia="zh-CN"/>
                    </w:rPr>
                  </m:ctrlPr>
                </m:funcPr>
                <m:fName>
                  <m:sSub>
                    <m:sSubPr>
                      <m:ctrlPr>
                        <w:rPr>
                          <w:rFonts w:ascii="Cambria Math" w:hAnsi="Cambria Math" w:eastAsia="宋体"/>
                          <w:bCs/>
                          <w:sz w:val="20"/>
                          <w:szCs w:val="20"/>
                          <w:lang w:eastAsia="zh-CN"/>
                        </w:rPr>
                      </m:ctrlPr>
                    </m:sSubPr>
                    <m:e>
                      <m:r>
                        <m:rPr>
                          <m:sty m:val="p"/>
                        </m:rPr>
                        <w:rPr>
                          <w:rFonts w:ascii="Cambria Math" w:hAnsi="Cambria Math" w:eastAsia="宋体"/>
                          <w:sz w:val="20"/>
                          <w:szCs w:val="20"/>
                          <w:lang w:eastAsia="zh-CN"/>
                        </w:rPr>
                        <m:t>log</m:t>
                      </m:r>
                      <m:ctrlPr>
                        <w:rPr>
                          <w:rFonts w:ascii="Cambria Math" w:hAnsi="Cambria Math" w:eastAsia="宋体"/>
                          <w:bCs/>
                          <w:sz w:val="20"/>
                          <w:szCs w:val="20"/>
                          <w:lang w:eastAsia="zh-CN"/>
                        </w:rPr>
                      </m:ctrlPr>
                    </m:e>
                    <m:sub>
                      <m:r>
                        <m:rPr/>
                        <w:rPr>
                          <w:rFonts w:ascii="Cambria Math" w:hAnsi="Cambria Math" w:eastAsia="宋体"/>
                          <w:sz w:val="20"/>
                          <w:szCs w:val="20"/>
                          <w:lang w:eastAsia="zh-CN"/>
                        </w:rPr>
                        <m:t>10</m:t>
                      </m:r>
                      <m:ctrlPr>
                        <w:rPr>
                          <w:rFonts w:ascii="Cambria Math" w:hAnsi="Cambria Math" w:eastAsia="宋体"/>
                          <w:bCs/>
                          <w:sz w:val="20"/>
                          <w:szCs w:val="20"/>
                          <w:lang w:eastAsia="zh-CN"/>
                        </w:rPr>
                      </m:ctrlPr>
                    </m:sub>
                  </m:sSub>
                  <m:ctrlPr>
                    <w:rPr>
                      <w:rFonts w:ascii="Cambria Math" w:hAnsi="Cambria Math" w:eastAsia="宋体"/>
                      <w:bCs/>
                      <w:sz w:val="20"/>
                      <w:szCs w:val="20"/>
                      <w:lang w:eastAsia="zh-CN"/>
                    </w:rPr>
                  </m:ctrlPr>
                </m:fName>
                <m:e>
                  <m:r>
                    <m:rPr/>
                    <w:rPr>
                      <w:rFonts w:ascii="Cambria Math" w:hAnsi="Cambria Math" w:eastAsia="宋体"/>
                      <w:sz w:val="20"/>
                      <w:szCs w:val="20"/>
                      <w:lang w:eastAsia="zh-CN"/>
                    </w:rPr>
                    <m:t xml:space="preserve">( </m:t>
                  </m:r>
                  <m:f>
                    <m:fPr>
                      <m:ctrlPr>
                        <w:rPr>
                          <w:rFonts w:ascii="Cambria Math" w:hAnsi="Cambria Math" w:eastAsia="宋体"/>
                          <w:bCs/>
                          <w:i/>
                          <w:sz w:val="20"/>
                          <w:szCs w:val="20"/>
                          <w:lang w:eastAsia="zh-CN"/>
                        </w:rPr>
                      </m:ctrlPr>
                    </m:fPr>
                    <m:num>
                      <m:r>
                        <m:rPr>
                          <m:sty m:val="p"/>
                        </m:rPr>
                        <w:rPr>
                          <w:rFonts w:ascii="Cambria Math" w:hAnsi="Cambria Math" w:eastAsia="宋体"/>
                          <w:sz w:val="20"/>
                          <w:szCs w:val="20"/>
                          <w:lang w:eastAsia="zh-CN"/>
                        </w:rPr>
                        <m:t>LCRB2∗SCS2</m:t>
                      </m:r>
                      <m:ctrlPr>
                        <w:rPr>
                          <w:rFonts w:ascii="Cambria Math" w:hAnsi="Cambria Math" w:eastAsia="宋体"/>
                          <w:bCs/>
                          <w:i/>
                          <w:sz w:val="20"/>
                          <w:szCs w:val="20"/>
                          <w:lang w:eastAsia="zh-CN"/>
                        </w:rPr>
                      </m:ctrlPr>
                    </m:num>
                    <m:den>
                      <m:r>
                        <m:rPr>
                          <m:sty m:val="p"/>
                        </m:rPr>
                        <w:rPr>
                          <w:rFonts w:ascii="Cambria Math" w:hAnsi="Cambria Math" w:eastAsia="宋体"/>
                          <w:sz w:val="20"/>
                          <w:szCs w:val="20"/>
                          <w:lang w:eastAsia="zh-CN"/>
                        </w:rPr>
                        <m:t>LCRB1∗SCS1+LCRB2∗SCS2</m:t>
                      </m:r>
                      <m:ctrlPr>
                        <w:rPr>
                          <w:rFonts w:ascii="Cambria Math" w:hAnsi="Cambria Math" w:eastAsia="宋体"/>
                          <w:bCs/>
                          <w:i/>
                          <w:sz w:val="20"/>
                          <w:szCs w:val="20"/>
                          <w:lang w:eastAsia="zh-CN"/>
                        </w:rPr>
                      </m:ctrlPr>
                    </m:den>
                  </m:f>
                  <m:r>
                    <m:rPr/>
                    <w:rPr>
                      <w:rFonts w:ascii="Cambria Math" w:hAnsi="Cambria Math" w:eastAsia="宋体"/>
                      <w:sz w:val="20"/>
                      <w:szCs w:val="20"/>
                      <w:lang w:eastAsia="zh-CN"/>
                    </w:rPr>
                    <m:t>)+3</m:t>
                  </m:r>
                  <m:ctrlPr>
                    <w:rPr>
                      <w:rFonts w:ascii="Cambria Math" w:hAnsi="Cambria Math" w:eastAsia="宋体"/>
                      <w:bCs/>
                      <w:sz w:val="20"/>
                      <w:szCs w:val="20"/>
                      <w:lang w:eastAsia="zh-CN"/>
                    </w:rPr>
                  </m:ctrlPr>
                </m:e>
              </m:func>
            </m:oMath>
          </w:p>
          <w:p>
            <w:pPr>
              <w:keepNext/>
              <w:keepLines/>
              <w:pageBreakBefore w:val="0"/>
              <w:kinsoku/>
              <w:wordWrap/>
              <w:overflowPunct/>
              <w:topLinePunct w:val="0"/>
              <w:autoSpaceDE/>
              <w:autoSpaceDN/>
              <w:bidi w:val="0"/>
              <w:adjustRightInd/>
              <w:spacing w:after="60"/>
              <w:ind w:left="1440"/>
              <w:jc w:val="both"/>
              <w:textAlignment w:val="auto"/>
              <w:rPr>
                <w:rFonts w:eastAsia="MS Mincho"/>
                <w:b/>
                <w:color w:val="0070C0"/>
                <w:sz w:val="20"/>
                <w:szCs w:val="20"/>
                <w:u w:val="single"/>
                <w:lang w:val="en-US" w:eastAsia="ko-KR"/>
              </w:rPr>
            </w:pPr>
          </w:p>
          <w:p>
            <w:pPr>
              <w:keepNext/>
              <w:keepLines/>
              <w:pageBreakBefore w:val="0"/>
              <w:numPr>
                <w:ilvl w:val="1"/>
                <w:numId w:val="7"/>
              </w:numPr>
              <w:kinsoku/>
              <w:wordWrap/>
              <w:overflowPunct/>
              <w:topLinePunct w:val="0"/>
              <w:autoSpaceDE/>
              <w:autoSpaceDN/>
              <w:bidi w:val="0"/>
              <w:adjustRightInd/>
              <w:spacing w:after="60"/>
              <w:ind w:left="1440"/>
              <w:jc w:val="both"/>
              <w:textAlignment w:val="auto"/>
              <w:rPr>
                <w:rFonts w:hint="eastAsia" w:cs="Times New Roman"/>
                <w:i w:val="0"/>
                <w:iCs w:val="0"/>
                <w:sz w:val="20"/>
                <w:szCs w:val="22"/>
                <w:highlight w:val="none"/>
                <w:vertAlign w:val="baseline"/>
                <w:lang w:val="en-US" w:eastAsia="zh-CN"/>
              </w:rPr>
            </w:pPr>
            <w:r>
              <w:rPr>
                <w:rFonts w:eastAsia="宋体"/>
                <w:sz w:val="20"/>
                <w:szCs w:val="20"/>
                <w:lang w:eastAsia="zh-CN"/>
              </w:rPr>
              <w:t xml:space="preserve">Proposal 2: Changes to TS 38.101-1 for dual-PA architecture, inset new equation for </w:t>
            </w:r>
            <w:r>
              <w:rPr>
                <w:sz w:val="20"/>
                <w:szCs w:val="20"/>
                <w:lang w:bidi="bn-IN"/>
              </w:rPr>
              <w:t>P</w:t>
            </w:r>
            <w:r>
              <w:rPr>
                <w:sz w:val="20"/>
                <w:szCs w:val="20"/>
                <w:vertAlign w:val="subscript"/>
                <w:lang w:bidi="bn-IN"/>
              </w:rPr>
              <w:t>CMAX,</w:t>
            </w:r>
            <w:r>
              <w:rPr>
                <w:i/>
                <w:sz w:val="20"/>
                <w:szCs w:val="20"/>
                <w:vertAlign w:val="subscript"/>
                <w:lang w:eastAsia="zh-CN" w:bidi="bn-IN"/>
              </w:rPr>
              <w:t xml:space="preserve">c </w:t>
            </w:r>
            <w:r>
              <w:rPr>
                <w:rFonts w:eastAsia="宋体"/>
                <w:sz w:val="20"/>
                <w:szCs w:val="20"/>
                <w:lang w:eastAsia="zh-CN"/>
              </w:rPr>
              <w:t>(Ericsson, more details refer to R4-2407721)</w:t>
            </w:r>
          </w:p>
        </w:tc>
      </w:tr>
    </w:tbl>
    <w:p>
      <w:pPr>
        <w:keepNext/>
        <w:keepLines/>
        <w:pageBreakBefore w:val="0"/>
        <w:widowControl w:val="0"/>
        <w:numPr>
          <w:ilvl w:val="-1"/>
          <w:numId w:val="0"/>
        </w:numPr>
        <w:kinsoku/>
        <w:wordWrap/>
        <w:overflowPunct w:val="0"/>
        <w:topLinePunct w:val="0"/>
        <w:autoSpaceDE w:val="0"/>
        <w:autoSpaceDN w:val="0"/>
        <w:bidi w:val="0"/>
        <w:adjustRightInd w:val="0"/>
        <w:spacing w:after="0"/>
        <w:ind w:left="0" w:leftChars="0" w:firstLine="0"/>
        <w:textAlignment w:val="baseline"/>
        <w:rPr>
          <w:rFonts w:hint="eastAsia"/>
          <w:bCs/>
          <w:sz w:val="20"/>
          <w:szCs w:val="20"/>
          <w:lang w:val="en-US" w:eastAsia="zh-CN"/>
        </w:rPr>
      </w:pPr>
      <w:r>
        <w:rPr>
          <w:rFonts w:hint="eastAsia" w:cs="Times New Roman"/>
          <w:sz w:val="20"/>
          <w:szCs w:val="20"/>
          <w:lang w:val="en-US" w:eastAsia="zh-CN"/>
        </w:rPr>
        <w:t xml:space="preserve">For PC1.5 TDD intra-band CA band combination, 2PA (i.e. 2*26dBm) shall be used due to curretly there is no commercial 29dBm single PA. Thus, the </w:t>
      </w:r>
      <w:r>
        <w:rPr>
          <w:rFonts w:eastAsia="宋体"/>
          <w:bCs/>
          <w:sz w:val="20"/>
          <w:szCs w:val="20"/>
          <w:lang w:val="en-US" w:eastAsia="ko-KR"/>
        </w:rPr>
        <w:t>P</w:t>
      </w:r>
      <w:r>
        <w:rPr>
          <w:rFonts w:eastAsia="宋体"/>
          <w:bCs/>
          <w:sz w:val="20"/>
          <w:szCs w:val="20"/>
          <w:vertAlign w:val="subscript"/>
          <w:lang w:val="en-US" w:eastAsia="ko-KR"/>
        </w:rPr>
        <w:t>CMAX,C</w:t>
      </w:r>
      <w:r>
        <w:rPr>
          <w:rFonts w:eastAsia="宋体"/>
          <w:bCs/>
          <w:sz w:val="20"/>
          <w:szCs w:val="20"/>
          <w:lang w:val="en-US" w:eastAsia="ko-KR"/>
        </w:rPr>
        <w:t xml:space="preserve"> limitation for each component carrier is 26dBm</w:t>
      </w:r>
      <w:r>
        <w:rPr>
          <w:rFonts w:hint="eastAsia"/>
          <w:bCs/>
          <w:sz w:val="20"/>
          <w:szCs w:val="20"/>
          <w:lang w:val="en-US" w:eastAsia="zh-CN"/>
        </w:rPr>
        <w:t xml:space="preserve"> for dualPA-architecture.</w:t>
      </w:r>
    </w:p>
    <w:p>
      <w:pPr>
        <w:keepNext/>
        <w:keepLines/>
        <w:pageBreakBefore w:val="0"/>
        <w:widowControl w:val="0"/>
        <w:numPr>
          <w:ilvl w:val="-1"/>
          <w:numId w:val="0"/>
        </w:numPr>
        <w:kinsoku/>
        <w:wordWrap/>
        <w:overflowPunct w:val="0"/>
        <w:topLinePunct w:val="0"/>
        <w:autoSpaceDE w:val="0"/>
        <w:autoSpaceDN w:val="0"/>
        <w:bidi w:val="0"/>
        <w:adjustRightInd w:val="0"/>
        <w:spacing w:after="0"/>
        <w:ind w:left="0" w:leftChars="0" w:firstLine="0"/>
        <w:textAlignment w:val="baseline"/>
        <w:rPr>
          <w:rFonts w:hint="default"/>
          <w:bCs/>
          <w:sz w:val="20"/>
          <w:szCs w:val="20"/>
          <w:lang w:val="en-US" w:eastAsia="zh-CN"/>
        </w:rPr>
      </w:pPr>
      <w:r>
        <w:rPr>
          <w:rFonts w:hint="eastAsia"/>
          <w:bCs/>
          <w:sz w:val="20"/>
          <w:szCs w:val="20"/>
          <w:lang w:val="en-US" w:eastAsia="zh-CN"/>
        </w:rPr>
        <w:t xml:space="preserve">For TxD(dualTx), in our understanding, equal maximum Tx power should be applied for each Tx. For each Tx support intra-band CA, the total of </w:t>
      </w:r>
      <w:r>
        <w:rPr>
          <w:rFonts w:eastAsia="宋体"/>
          <w:bCs/>
          <w:sz w:val="20"/>
          <w:szCs w:val="20"/>
          <w:lang w:val="en-US" w:eastAsia="ko-KR"/>
        </w:rPr>
        <w:t>P</w:t>
      </w:r>
      <w:r>
        <w:rPr>
          <w:rFonts w:eastAsia="宋体"/>
          <w:bCs/>
          <w:sz w:val="20"/>
          <w:szCs w:val="20"/>
          <w:vertAlign w:val="subscript"/>
          <w:lang w:val="en-US" w:eastAsia="ko-KR"/>
        </w:rPr>
        <w:t>CMAX,C</w:t>
      </w:r>
      <w:r>
        <w:rPr>
          <w:rFonts w:eastAsia="宋体"/>
          <w:bCs/>
          <w:sz w:val="20"/>
          <w:szCs w:val="20"/>
          <w:lang w:val="en-US" w:eastAsia="ko-KR"/>
        </w:rPr>
        <w:t xml:space="preserve"> limitation</w:t>
      </w:r>
      <w:r>
        <w:rPr>
          <w:rFonts w:hint="eastAsia"/>
          <w:bCs/>
          <w:sz w:val="20"/>
          <w:szCs w:val="20"/>
          <w:lang w:val="en-US" w:eastAsia="zh-CN"/>
        </w:rPr>
        <w:t xml:space="preserve"> (i.e. </w:t>
      </w:r>
      <w:r>
        <w:rPr>
          <w:rFonts w:cs="Vrinda"/>
          <w:sz w:val="20"/>
          <w:lang w:bidi="bn-IN"/>
        </w:rPr>
        <w:t>P</w:t>
      </w:r>
      <w:r>
        <w:rPr>
          <w:rFonts w:cs="Vrinda"/>
          <w:sz w:val="20"/>
          <w:vertAlign w:val="subscript"/>
          <w:lang w:bidi="bn-IN"/>
        </w:rPr>
        <w:t>CMAX</w:t>
      </w:r>
      <w:r>
        <w:rPr>
          <w:rFonts w:hint="eastAsia"/>
          <w:bCs/>
          <w:sz w:val="20"/>
          <w:szCs w:val="20"/>
          <w:lang w:val="en-US" w:eastAsia="zh-CN"/>
        </w:rPr>
        <w:t xml:space="preserve">) should be 26dBm. The proposal 1 for TxD in the WF seems that equal PSD is assumed for each carrier, then the power scaling between the two CC in each Tx chain depends on the RB bandwidth scaling factor. However, as commented by company in last meeting, </w:t>
      </w:r>
      <w:r>
        <w:rPr>
          <w:rFonts w:hint="eastAsia" w:eastAsia="宋体"/>
          <w:b w:val="0"/>
          <w:bCs/>
          <w:sz w:val="20"/>
          <w:szCs w:val="20"/>
          <w:u w:val="none"/>
          <w:lang w:val="en-US" w:eastAsia="zh-CN"/>
        </w:rPr>
        <w:t>the unequal PSD exists</w:t>
      </w:r>
      <w:r>
        <w:rPr>
          <w:rFonts w:hint="eastAsia"/>
          <w:b w:val="0"/>
          <w:bCs/>
          <w:sz w:val="20"/>
          <w:szCs w:val="20"/>
          <w:u w:val="none"/>
          <w:lang w:val="en-US" w:eastAsia="zh-CN"/>
        </w:rPr>
        <w:t xml:space="preserve"> </w:t>
      </w:r>
      <w:r>
        <w:rPr>
          <w:rFonts w:hint="eastAsia" w:eastAsia="宋体"/>
          <w:b w:val="0"/>
          <w:bCs/>
          <w:sz w:val="20"/>
          <w:szCs w:val="20"/>
          <w:u w:val="none"/>
          <w:lang w:val="en-US" w:eastAsia="zh-CN"/>
        </w:rPr>
        <w:t xml:space="preserve">in field. </w:t>
      </w:r>
    </w:p>
    <w:p>
      <w:pPr>
        <w:keepNext/>
        <w:keepLines/>
        <w:pageBreakBefore w:val="0"/>
        <w:widowControl w:val="0"/>
        <w:numPr>
          <w:ilvl w:val="-1"/>
          <w:numId w:val="0"/>
        </w:numPr>
        <w:kinsoku/>
        <w:wordWrap/>
        <w:overflowPunct w:val="0"/>
        <w:topLinePunct w:val="0"/>
        <w:autoSpaceDE w:val="0"/>
        <w:autoSpaceDN w:val="0"/>
        <w:bidi w:val="0"/>
        <w:adjustRightInd w:val="0"/>
        <w:spacing w:after="0"/>
        <w:ind w:left="0" w:leftChars="0" w:firstLine="0"/>
        <w:textAlignment w:val="baseline"/>
        <w:rPr>
          <w:rFonts w:hint="eastAsia"/>
          <w:bCs/>
          <w:sz w:val="20"/>
          <w:szCs w:val="20"/>
          <w:lang w:val="en-US" w:eastAsia="zh-CN"/>
        </w:rPr>
      </w:pPr>
      <w:r>
        <w:rPr>
          <w:rFonts w:hint="eastAsia"/>
          <w:bCs/>
          <w:sz w:val="20"/>
          <w:szCs w:val="20"/>
          <w:lang w:val="en-US" w:eastAsia="zh-CN"/>
        </w:rPr>
        <w:t>For intra-band UL contiguous CA with TxD architecture, UL MIMO can be supported as well. When we look at c</w:t>
      </w:r>
      <w:r>
        <w:rPr>
          <w:rFonts w:eastAsia="MS Mincho"/>
          <w:sz w:val="20"/>
        </w:rPr>
        <w:t>onfigured transmitted power for intra-band UL contiguous CA with UL MIMO</w:t>
      </w:r>
      <w:r>
        <w:rPr>
          <w:rFonts w:hint="eastAsia" w:eastAsia="宋体"/>
          <w:sz w:val="20"/>
          <w:lang w:val="en-US" w:eastAsia="zh-CN"/>
        </w:rPr>
        <w:t>, t</w:t>
      </w:r>
      <w:r>
        <w:rPr>
          <w:rFonts w:hint="eastAsia"/>
          <w:bCs/>
          <w:sz w:val="20"/>
          <w:szCs w:val="20"/>
          <w:lang w:val="en-US" w:eastAsia="zh-CN"/>
        </w:rPr>
        <w:t xml:space="preserve">he </w:t>
      </w:r>
      <w:r>
        <w:rPr>
          <w:rFonts w:cs="Vrinda"/>
          <w:sz w:val="20"/>
          <w:lang w:bidi="bn-IN"/>
        </w:rPr>
        <w:t>P</w:t>
      </w:r>
      <w:r>
        <w:rPr>
          <w:rFonts w:cs="Vrinda"/>
          <w:sz w:val="20"/>
          <w:vertAlign w:val="subscript"/>
          <w:lang w:bidi="bn-IN"/>
        </w:rPr>
        <w:t>CMAX,</w:t>
      </w:r>
      <w:r>
        <w:rPr>
          <w:rFonts w:cs="Vrinda"/>
          <w:i/>
          <w:sz w:val="20"/>
          <w:vertAlign w:val="subscript"/>
          <w:lang w:bidi="bn-IN"/>
        </w:rPr>
        <w:t>c</w:t>
      </w:r>
      <w:r>
        <w:rPr>
          <w:rFonts w:hint="eastAsia"/>
          <w:bCs/>
          <w:sz w:val="20"/>
          <w:szCs w:val="20"/>
          <w:lang w:val="en-US" w:eastAsia="zh-CN"/>
        </w:rPr>
        <w:t xml:space="preserve"> of intra-band contiguous CA is applied, where </w:t>
      </w:r>
      <w:r>
        <w:rPr>
          <w:rFonts w:cs="Vrinda"/>
          <w:sz w:val="20"/>
          <w:lang w:bidi="bn-IN"/>
        </w:rPr>
        <w:t>P</w:t>
      </w:r>
      <w:r>
        <w:rPr>
          <w:rFonts w:cs="Vrinda"/>
          <w:sz w:val="20"/>
          <w:vertAlign w:val="subscript"/>
          <w:lang w:bidi="bn-IN"/>
        </w:rPr>
        <w:t>CMAX,</w:t>
      </w:r>
      <w:r>
        <w:rPr>
          <w:rFonts w:cs="Vrinda"/>
          <w:i/>
          <w:sz w:val="20"/>
          <w:vertAlign w:val="subscript"/>
          <w:lang w:bidi="bn-IN"/>
        </w:rPr>
        <w:t>c</w:t>
      </w:r>
      <w:r>
        <w:rPr>
          <w:rFonts w:hint="eastAsia" w:cs="Vrinda"/>
          <w:i/>
          <w:sz w:val="20"/>
          <w:vertAlign w:val="subscript"/>
          <w:lang w:val="en-US" w:eastAsia="zh-CN" w:bidi="bn-IN"/>
        </w:rPr>
        <w:t xml:space="preserve"> </w:t>
      </w:r>
      <w:r>
        <w:rPr>
          <w:rFonts w:hint="eastAsia" w:cs="Vrinda"/>
          <w:i w:val="0"/>
          <w:iCs/>
          <w:sz w:val="20"/>
          <w:vertAlign w:val="baseline"/>
          <w:lang w:val="en-US" w:eastAsia="zh-CN" w:bidi="bn-IN"/>
        </w:rPr>
        <w:t xml:space="preserve">of single carrier is applied to intra-band CA. There are no </w:t>
      </w:r>
      <w:r>
        <w:rPr>
          <w:rFonts w:eastAsia="宋体"/>
          <w:bCs/>
          <w:sz w:val="20"/>
          <w:szCs w:val="20"/>
          <w:lang w:val="en-US" w:eastAsia="ko-KR"/>
        </w:rPr>
        <w:t>P</w:t>
      </w:r>
      <w:r>
        <w:rPr>
          <w:rFonts w:eastAsia="宋体"/>
          <w:bCs/>
          <w:sz w:val="20"/>
          <w:szCs w:val="20"/>
          <w:vertAlign w:val="subscript"/>
          <w:lang w:val="en-US" w:eastAsia="ko-KR"/>
        </w:rPr>
        <w:t>CMAX,C</w:t>
      </w:r>
      <w:r>
        <w:rPr>
          <w:rFonts w:eastAsia="宋体"/>
          <w:bCs/>
          <w:sz w:val="20"/>
          <w:szCs w:val="20"/>
          <w:lang w:val="en-US" w:eastAsia="ko-KR"/>
        </w:rPr>
        <w:t xml:space="preserve"> limitation</w:t>
      </w:r>
      <w:r>
        <w:rPr>
          <w:rFonts w:hint="eastAsia"/>
          <w:bCs/>
          <w:sz w:val="20"/>
          <w:szCs w:val="20"/>
          <w:lang w:val="en-US" w:eastAsia="zh-CN"/>
        </w:rPr>
        <w:t xml:space="preserve"> for current intra-band UL CA with UL MIMO or TxD. Therefore, we think the same </w:t>
      </w:r>
      <w:r>
        <w:rPr>
          <w:rFonts w:eastAsia="宋体"/>
          <w:bCs/>
          <w:sz w:val="20"/>
          <w:szCs w:val="20"/>
          <w:lang w:val="en-US" w:eastAsia="ko-KR"/>
        </w:rPr>
        <w:t>P</w:t>
      </w:r>
      <w:r>
        <w:rPr>
          <w:rFonts w:eastAsia="宋体"/>
          <w:bCs/>
          <w:sz w:val="20"/>
          <w:szCs w:val="20"/>
          <w:vertAlign w:val="subscript"/>
          <w:lang w:val="en-US" w:eastAsia="ko-KR"/>
        </w:rPr>
        <w:t>CMAX,C</w:t>
      </w:r>
      <w:r>
        <w:rPr>
          <w:rFonts w:eastAsia="宋体"/>
          <w:bCs/>
          <w:sz w:val="20"/>
          <w:szCs w:val="20"/>
          <w:lang w:val="en-US" w:eastAsia="ko-KR"/>
        </w:rPr>
        <w:t xml:space="preserve"> limitation for each component carrier</w:t>
      </w:r>
      <w:r>
        <w:rPr>
          <w:rFonts w:hint="eastAsia"/>
          <w:bCs/>
          <w:sz w:val="20"/>
          <w:szCs w:val="20"/>
          <w:lang w:val="en-US" w:eastAsia="zh-CN"/>
        </w:rPr>
        <w:t xml:space="preserve"> can also be applied for TxD.</w:t>
      </w:r>
    </w:p>
    <w:p>
      <w:pPr>
        <w:keepNext/>
        <w:keepLines/>
        <w:widowControl w:val="0"/>
        <w:numPr>
          <w:ilvl w:val="-1"/>
          <w:numId w:val="0"/>
        </w:numPr>
        <w:overflowPunct w:val="0"/>
        <w:autoSpaceDE w:val="0"/>
        <w:autoSpaceDN w:val="0"/>
        <w:adjustRightInd w:val="0"/>
        <w:spacing w:after="0"/>
        <w:ind w:left="0" w:leftChars="0" w:firstLine="0"/>
        <w:textAlignment w:val="baseline"/>
        <w:rPr>
          <w:rFonts w:hint="eastAsia"/>
          <w:b/>
          <w:i/>
          <w:iCs/>
          <w:sz w:val="20"/>
          <w:szCs w:val="20"/>
          <w:lang w:val="en-US" w:eastAsia="zh-CN"/>
        </w:rPr>
      </w:pPr>
      <w:r>
        <w:rPr>
          <w:rFonts w:hint="eastAsia"/>
          <w:b/>
          <w:bCs w:val="0"/>
          <w:i/>
          <w:iCs/>
          <w:sz w:val="20"/>
          <w:szCs w:val="20"/>
          <w:lang w:val="en-US" w:eastAsia="zh-CN"/>
        </w:rPr>
        <w:t xml:space="preserve">Proposal 2.  For the </w:t>
      </w:r>
      <w:r>
        <w:rPr>
          <w:rFonts w:eastAsia="宋体"/>
          <w:b/>
          <w:bCs w:val="0"/>
          <w:i/>
          <w:iCs/>
          <w:sz w:val="20"/>
          <w:szCs w:val="20"/>
          <w:lang w:val="en-US" w:eastAsia="ko-KR"/>
        </w:rPr>
        <w:t>P</w:t>
      </w:r>
      <w:r>
        <w:rPr>
          <w:rFonts w:eastAsia="宋体"/>
          <w:b/>
          <w:bCs w:val="0"/>
          <w:i/>
          <w:iCs/>
          <w:sz w:val="20"/>
          <w:szCs w:val="20"/>
          <w:vertAlign w:val="subscript"/>
          <w:lang w:val="en-US" w:eastAsia="ko-KR"/>
        </w:rPr>
        <w:t>CMAX,C</w:t>
      </w:r>
      <w:r>
        <w:rPr>
          <w:rFonts w:hint="eastAsia"/>
          <w:b/>
          <w:bCs w:val="0"/>
          <w:i/>
          <w:iCs/>
          <w:sz w:val="20"/>
          <w:szCs w:val="20"/>
          <w:lang w:val="en-US" w:eastAsia="zh-CN"/>
        </w:rPr>
        <w:t xml:space="preserve"> of </w:t>
      </w:r>
      <w:r>
        <w:rPr>
          <w:rFonts w:eastAsia="宋体"/>
          <w:b/>
          <w:i/>
          <w:iCs/>
          <w:sz w:val="20"/>
          <w:szCs w:val="20"/>
          <w:lang w:eastAsia="zh-CN"/>
        </w:rPr>
        <w:t>PC1.5 UE architecture of intra-band UL CA</w:t>
      </w:r>
      <w:r>
        <w:rPr>
          <w:rFonts w:hint="eastAsia"/>
          <w:b/>
          <w:i/>
          <w:iCs/>
          <w:sz w:val="20"/>
          <w:szCs w:val="20"/>
          <w:lang w:val="en-US" w:eastAsia="zh-CN"/>
        </w:rPr>
        <w:t>:</w:t>
      </w:r>
    </w:p>
    <w:p>
      <w:pPr>
        <w:keepNext/>
        <w:keepLines/>
        <w:pageBreakBefore w:val="0"/>
        <w:numPr>
          <w:ilvl w:val="0"/>
          <w:numId w:val="7"/>
        </w:numPr>
        <w:kinsoku/>
        <w:wordWrap/>
        <w:overflowPunct/>
        <w:topLinePunct w:val="0"/>
        <w:autoSpaceDE/>
        <w:autoSpaceDN/>
        <w:bidi w:val="0"/>
        <w:adjustRightInd/>
        <w:spacing w:after="120"/>
        <w:ind w:left="2037" w:leftChars="800" w:hanging="357"/>
        <w:textAlignment w:val="auto"/>
        <w:rPr>
          <w:rFonts w:eastAsia="宋体"/>
          <w:b/>
          <w:bCs w:val="0"/>
          <w:i/>
          <w:iCs/>
          <w:sz w:val="20"/>
          <w:szCs w:val="20"/>
          <w:lang w:val="en-US" w:eastAsia="ko-KR"/>
        </w:rPr>
      </w:pPr>
      <w:r>
        <w:rPr>
          <w:rFonts w:hint="eastAsia" w:eastAsia="宋体"/>
          <w:b/>
          <w:bCs w:val="0"/>
          <w:i/>
          <w:iCs/>
          <w:sz w:val="20"/>
          <w:szCs w:val="20"/>
          <w:lang w:val="en-US" w:eastAsia="ko-KR"/>
        </w:rPr>
        <w:t>For dualPA-architecture</w:t>
      </w:r>
    </w:p>
    <w:p>
      <w:pPr>
        <w:keepNext/>
        <w:keepLines/>
        <w:pageBreakBefore w:val="0"/>
        <w:numPr>
          <w:ilvl w:val="1"/>
          <w:numId w:val="7"/>
        </w:numPr>
        <w:kinsoku/>
        <w:wordWrap/>
        <w:overflowPunct/>
        <w:topLinePunct w:val="0"/>
        <w:autoSpaceDE/>
        <w:autoSpaceDN/>
        <w:bidi w:val="0"/>
        <w:adjustRightInd/>
        <w:spacing w:after="120"/>
        <w:ind w:left="2457" w:leftChars="1000" w:hanging="357"/>
        <w:textAlignment w:val="auto"/>
        <w:rPr>
          <w:rFonts w:eastAsia="宋体"/>
          <w:b/>
          <w:bCs w:val="0"/>
          <w:i/>
          <w:iCs/>
          <w:sz w:val="20"/>
          <w:szCs w:val="20"/>
          <w:lang w:val="en-US" w:eastAsia="ko-KR"/>
        </w:rPr>
      </w:pPr>
      <w:r>
        <w:rPr>
          <w:rFonts w:eastAsia="宋体"/>
          <w:b/>
          <w:bCs w:val="0"/>
          <w:i/>
          <w:iCs/>
          <w:sz w:val="20"/>
          <w:szCs w:val="20"/>
          <w:lang w:val="en-US" w:eastAsia="ko-KR"/>
        </w:rPr>
        <w:t>P</w:t>
      </w:r>
      <w:r>
        <w:rPr>
          <w:rFonts w:eastAsia="宋体"/>
          <w:b/>
          <w:bCs w:val="0"/>
          <w:i/>
          <w:iCs/>
          <w:sz w:val="20"/>
          <w:szCs w:val="20"/>
          <w:vertAlign w:val="subscript"/>
          <w:lang w:val="en-US" w:eastAsia="ko-KR"/>
        </w:rPr>
        <w:t>CMAX,C</w:t>
      </w:r>
      <w:r>
        <w:rPr>
          <w:rFonts w:eastAsia="宋体"/>
          <w:b/>
          <w:bCs w:val="0"/>
          <w:i/>
          <w:iCs/>
          <w:sz w:val="20"/>
          <w:szCs w:val="20"/>
          <w:lang w:val="en-US" w:eastAsia="ko-KR"/>
        </w:rPr>
        <w:t xml:space="preserve"> limitation for each component carrier is 26dBm</w:t>
      </w:r>
    </w:p>
    <w:p>
      <w:pPr>
        <w:keepNext/>
        <w:keepLines/>
        <w:pageBreakBefore w:val="0"/>
        <w:numPr>
          <w:ilvl w:val="0"/>
          <w:numId w:val="7"/>
        </w:numPr>
        <w:kinsoku/>
        <w:wordWrap/>
        <w:overflowPunct/>
        <w:topLinePunct w:val="0"/>
        <w:autoSpaceDE/>
        <w:autoSpaceDN/>
        <w:bidi w:val="0"/>
        <w:adjustRightInd/>
        <w:spacing w:after="120"/>
        <w:ind w:left="2037" w:leftChars="800" w:hanging="357"/>
        <w:textAlignment w:val="auto"/>
        <w:rPr>
          <w:rFonts w:eastAsia="宋体"/>
          <w:b/>
          <w:bCs w:val="0"/>
          <w:i/>
          <w:iCs/>
          <w:sz w:val="20"/>
          <w:szCs w:val="20"/>
          <w:lang w:val="en-US" w:eastAsia="ko-KR"/>
        </w:rPr>
      </w:pPr>
      <w:r>
        <w:rPr>
          <w:rFonts w:hint="eastAsia" w:eastAsia="宋体"/>
          <w:b/>
          <w:bCs w:val="0"/>
          <w:i/>
          <w:iCs/>
          <w:sz w:val="20"/>
          <w:szCs w:val="20"/>
          <w:lang w:val="en-US" w:eastAsia="ko-KR"/>
        </w:rPr>
        <w:t xml:space="preserve">For </w:t>
      </w:r>
      <w:r>
        <w:rPr>
          <w:rFonts w:hint="eastAsia"/>
          <w:b/>
          <w:bCs w:val="0"/>
          <w:i/>
          <w:iCs/>
          <w:sz w:val="20"/>
          <w:szCs w:val="20"/>
          <w:lang w:val="en-US" w:eastAsia="zh-CN"/>
        </w:rPr>
        <w:t>TxD(dualTx)</w:t>
      </w:r>
    </w:p>
    <w:p>
      <w:pPr>
        <w:keepNext/>
        <w:keepLines/>
        <w:pageBreakBefore w:val="0"/>
        <w:numPr>
          <w:ilvl w:val="1"/>
          <w:numId w:val="7"/>
        </w:numPr>
        <w:kinsoku/>
        <w:wordWrap/>
        <w:overflowPunct/>
        <w:topLinePunct w:val="0"/>
        <w:autoSpaceDE/>
        <w:autoSpaceDN/>
        <w:bidi w:val="0"/>
        <w:adjustRightInd/>
        <w:spacing w:after="120"/>
        <w:ind w:left="2457" w:leftChars="1000" w:hanging="357"/>
        <w:textAlignment w:val="auto"/>
        <w:rPr>
          <w:rFonts w:eastAsia="宋体"/>
          <w:b/>
          <w:bCs w:val="0"/>
          <w:i/>
          <w:iCs/>
          <w:sz w:val="20"/>
          <w:szCs w:val="20"/>
          <w:lang w:val="en-US" w:eastAsia="ko-KR"/>
        </w:rPr>
      </w:pPr>
      <w:r>
        <w:rPr>
          <w:rFonts w:eastAsia="宋体"/>
          <w:b/>
          <w:bCs w:val="0"/>
          <w:i/>
          <w:iCs/>
          <w:sz w:val="20"/>
          <w:szCs w:val="20"/>
          <w:lang w:val="en-US" w:eastAsia="ko-KR"/>
        </w:rPr>
        <w:t>P</w:t>
      </w:r>
      <w:r>
        <w:rPr>
          <w:rFonts w:eastAsia="宋体"/>
          <w:b/>
          <w:bCs w:val="0"/>
          <w:i/>
          <w:iCs/>
          <w:sz w:val="20"/>
          <w:szCs w:val="20"/>
          <w:vertAlign w:val="subscript"/>
          <w:lang w:val="en-US" w:eastAsia="ko-KR"/>
        </w:rPr>
        <w:t>CMAX,C</w:t>
      </w:r>
      <w:r>
        <w:rPr>
          <w:rFonts w:eastAsia="宋体"/>
          <w:b/>
          <w:bCs w:val="0"/>
          <w:i/>
          <w:iCs/>
          <w:sz w:val="20"/>
          <w:szCs w:val="20"/>
          <w:lang w:val="en-US" w:eastAsia="ko-KR"/>
        </w:rPr>
        <w:t xml:space="preserve"> limitation for each component carrier is 2</w:t>
      </w:r>
      <w:r>
        <w:rPr>
          <w:rFonts w:hint="eastAsia"/>
          <w:b/>
          <w:bCs w:val="0"/>
          <w:i/>
          <w:iCs/>
          <w:sz w:val="20"/>
          <w:szCs w:val="20"/>
          <w:lang w:val="en-US" w:eastAsia="zh-CN"/>
        </w:rPr>
        <w:t>9</w:t>
      </w:r>
      <w:r>
        <w:rPr>
          <w:rFonts w:eastAsia="宋体"/>
          <w:b/>
          <w:bCs w:val="0"/>
          <w:i/>
          <w:iCs/>
          <w:sz w:val="20"/>
          <w:szCs w:val="20"/>
          <w:lang w:val="en-US" w:eastAsia="ko-KR"/>
        </w:rPr>
        <w:t>dBm</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i w:val="0"/>
          <w:iCs w:val="0"/>
          <w:sz w:val="20"/>
          <w:szCs w:val="22"/>
          <w:highlight w:val="none"/>
          <w:lang w:val="en-US" w:eastAsia="zh-CN"/>
        </w:rPr>
      </w:pPr>
      <w:bookmarkStart w:id="18" w:name="OLE_LINK20"/>
      <w:r>
        <w:rPr>
          <w:rFonts w:hint="eastAsia" w:cs="Times New Roman"/>
          <w:i w:val="0"/>
          <w:iCs w:val="0"/>
          <w:sz w:val="20"/>
          <w:szCs w:val="22"/>
          <w:highlight w:val="none"/>
          <w:lang w:val="en-US" w:eastAsia="zh-CN"/>
        </w:rPr>
        <w:t>P</w:t>
      </w:r>
      <w:r>
        <w:rPr>
          <w:rFonts w:hint="eastAsia" w:cs="Times New Roman"/>
          <w:i w:val="0"/>
          <w:iCs w:val="0"/>
          <w:sz w:val="20"/>
          <w:szCs w:val="22"/>
          <w:highlight w:val="none"/>
          <w:vertAlign w:val="subscript"/>
          <w:lang w:val="en-US" w:eastAsia="zh-CN"/>
        </w:rPr>
        <w:t xml:space="preserve">CMAX </w:t>
      </w:r>
      <w:r>
        <w:rPr>
          <w:rFonts w:hint="eastAsia"/>
          <w:lang w:val="en-US" w:eastAsia="zh-CN"/>
        </w:rPr>
        <w:t xml:space="preserve">is the total </w:t>
      </w:r>
      <w:r>
        <w:t>configured maximum output power</w:t>
      </w:r>
      <w:r>
        <w:rPr>
          <w:rFonts w:hint="eastAsia"/>
          <w:lang w:val="en-US" w:eastAsia="zh-CN"/>
        </w:rPr>
        <w:t>,</w:t>
      </w:r>
      <w:r>
        <w:rPr>
          <w:rFonts w:hint="eastAsia"/>
          <w:i w:val="0"/>
          <w:iCs/>
          <w:lang w:val="en-US" w:eastAsia="zh-CN"/>
        </w:rPr>
        <w:t xml:space="preserve"> the </w:t>
      </w:r>
      <w:r>
        <w:rPr>
          <w:rFonts w:hint="eastAsia" w:cs="Times New Roman"/>
          <w:i w:val="0"/>
          <w:iCs w:val="0"/>
          <w:sz w:val="20"/>
          <w:szCs w:val="22"/>
          <w:highlight w:val="none"/>
          <w:lang w:val="en-US" w:eastAsia="zh-CN"/>
        </w:rPr>
        <w:t>agreement was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24"/>
                <w:vertAlign w:val="subscript"/>
                <w:lang w:val="en-GB" w:eastAsia="en-GB" w:bidi="ar-SA"/>
              </w:rPr>
            </w:pPr>
            <w:r>
              <w:rPr>
                <w:rFonts w:ascii="Arial" w:hAnsi="Arial" w:eastAsia="Times New Roman" w:cs="Times New Roman"/>
                <w:sz w:val="24"/>
                <w:lang w:val="en-GB" w:eastAsia="en-GB" w:bidi="ar-SA"/>
              </w:rPr>
              <w:t>2.5 P</w:t>
            </w:r>
            <w:r>
              <w:rPr>
                <w:rFonts w:ascii="Arial" w:hAnsi="Arial" w:eastAsia="Times New Roman" w:cs="Times New Roman"/>
                <w:sz w:val="24"/>
                <w:vertAlign w:val="subscript"/>
                <w:lang w:val="en-GB" w:eastAsia="en-GB" w:bidi="ar-SA"/>
              </w:rPr>
              <w:t>CMAX</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b/>
                <w:kern w:val="0"/>
                <w:sz w:val="20"/>
                <w:lang w:val="en-GB" w:eastAsia="zh-CN"/>
              </w:rPr>
            </w:pPr>
            <w:bookmarkStart w:id="19" w:name="_Hlk167280335"/>
            <w:r>
              <w:rPr>
                <w:rFonts w:ascii="Times New Roman" w:hAnsi="Times New Roman" w:eastAsia="Times New Roman" w:cs="Times New Roman"/>
                <w:b/>
                <w:kern w:val="0"/>
                <w:sz w:val="20"/>
                <w:lang w:val="en-GB" w:eastAsia="zh-CN"/>
              </w:rPr>
              <w:t>Proposals:</w:t>
            </w:r>
          </w:p>
          <w:bookmarkEnd w:id="19"/>
          <w:p>
            <w:pPr>
              <w:numPr>
                <w:ilvl w:val="1"/>
                <w:numId w:val="7"/>
              </w:numPr>
              <w:overflowPunct/>
              <w:autoSpaceDE/>
              <w:autoSpaceDN/>
              <w:adjustRightInd/>
              <w:spacing w:beforeLines="-2147483648" w:after="60" w:afterLines="-2147483648" w:line="240" w:lineRule="auto"/>
              <w:ind w:left="1440"/>
              <w:jc w:val="both"/>
              <w:textAlignment w:val="auto"/>
              <w:rPr>
                <w:rFonts w:ascii="Times New Roman" w:hAnsi="Times New Roman" w:eastAsia="MS Mincho" w:cs="Times New Roman"/>
                <w:b/>
                <w:color w:val="0070C0"/>
                <w:kern w:val="0"/>
                <w:sz w:val="20"/>
                <w:szCs w:val="18"/>
                <w:u w:val="single"/>
                <w:lang w:val="en-US" w:eastAsia="ko-KR"/>
              </w:rPr>
            </w:pPr>
            <w:r>
              <w:rPr>
                <w:rFonts w:ascii="Times New Roman" w:hAnsi="Times New Roman" w:eastAsia="宋体" w:cs="Times New Roman"/>
                <w:kern w:val="0"/>
                <w:sz w:val="20"/>
                <w:szCs w:val="24"/>
                <w:lang w:val="en-GB" w:eastAsia="zh-CN"/>
              </w:rPr>
              <w:t>Option 1: (Skyworks)</w:t>
            </w:r>
          </w:p>
          <w:p>
            <w:pPr>
              <w:numPr>
                <w:ilvl w:val="1"/>
                <w:numId w:val="8"/>
              </w:numPr>
              <w:overflowPunct/>
              <w:autoSpaceDE/>
              <w:autoSpaceDN/>
              <w:adjustRightInd/>
              <w:spacing w:beforeLines="-2147483648" w:after="0" w:afterLines="-2147483648" w:line="240" w:lineRule="auto"/>
              <w:ind w:left="1656" w:hanging="360"/>
              <w:jc w:val="left"/>
              <w:textAlignment w:val="auto"/>
              <w:rPr>
                <w:rFonts w:ascii="Times New Roman" w:hAnsi="Times New Roman" w:eastAsia="Arial" w:cs="Times New Roman"/>
                <w:kern w:val="0"/>
                <w:sz w:val="20"/>
                <w:lang w:val="en-US" w:eastAsia="zh-CN"/>
              </w:rPr>
            </w:pPr>
            <w:r>
              <w:rPr>
                <w:rFonts w:ascii="Times New Roman" w:hAnsi="Times New Roman" w:eastAsia="Arial" w:cs="Times New Roman"/>
                <w:kern w:val="0"/>
                <w:sz w:val="20"/>
                <w:lang w:val="en-US" w:eastAsia="zh-CN"/>
              </w:rPr>
              <w:t xml:space="preserve">MOP for 2Tx architectures (TxD w/wo UL MIMO) is: </w:t>
            </w:r>
            <w:r>
              <w:rPr>
                <w:rFonts w:ascii="Times New Roman" w:hAnsi="Times New Roman" w:eastAsia="Arial" w:cs="Times New Roman"/>
                <w:i/>
                <w:iCs/>
                <w:kern w:val="0"/>
                <w:sz w:val="20"/>
                <w:lang w:val="en-US" w:eastAsia="zh-CN"/>
              </w:rPr>
              <w:t>29</w:t>
            </w:r>
            <w:r>
              <w:rPr>
                <w:rFonts w:ascii="Times New Roman" w:hAnsi="Times New Roman" w:eastAsia="Arial" w:cs="Times New Roman"/>
                <w:kern w:val="0"/>
                <w:sz w:val="20"/>
                <w:lang w:val="en-US" w:eastAsia="zh-CN"/>
              </w:rPr>
              <w:t xml:space="preserve"> dBm </w:t>
            </w:r>
          </w:p>
          <w:p>
            <w:pPr>
              <w:numPr>
                <w:ilvl w:val="1"/>
                <w:numId w:val="8"/>
              </w:numPr>
              <w:overflowPunct/>
              <w:autoSpaceDE/>
              <w:autoSpaceDN/>
              <w:adjustRightInd/>
              <w:spacing w:beforeLines="-2147483648" w:after="0" w:afterLines="-2147483648" w:line="240" w:lineRule="auto"/>
              <w:ind w:left="1656" w:hanging="360"/>
              <w:jc w:val="left"/>
              <w:textAlignment w:val="auto"/>
              <w:rPr>
                <w:rFonts w:ascii="Times New Roman" w:hAnsi="Times New Roman" w:eastAsia="Arial" w:cs="Times New Roman"/>
                <w:kern w:val="0"/>
                <w:sz w:val="20"/>
                <w:lang w:val="en-US" w:eastAsia="zh-CN"/>
              </w:rPr>
            </w:pPr>
            <w:r>
              <w:rPr>
                <w:rFonts w:ascii="Times New Roman" w:hAnsi="Times New Roman" w:eastAsia="Arial" w:cs="Times New Roman"/>
                <w:kern w:val="0"/>
                <w:sz w:val="20"/>
                <w:lang w:val="en-US" w:eastAsia="zh-CN"/>
              </w:rPr>
              <w:t xml:space="preserve">MOP for Dual-PA architectures (one PA/CC, 2LO) is: </w:t>
            </w:r>
          </w:p>
          <w:p>
            <w:pPr>
              <w:overflowPunct w:val="0"/>
              <w:autoSpaceDE w:val="0"/>
              <w:autoSpaceDN w:val="0"/>
              <w:adjustRightInd w:val="0"/>
              <w:spacing w:beforeLines="-2147483648" w:after="120" w:afterLines="50" w:line="240" w:lineRule="auto"/>
              <w:ind w:left="1785" w:leftChars="850"/>
              <w:jc w:val="left"/>
              <w:textAlignment w:val="baseline"/>
              <w:rPr>
                <w:rFonts w:ascii="Times New Roman" w:hAnsi="Times New Roman" w:eastAsia="Arial" w:cs="Times New Roman"/>
                <w:kern w:val="0"/>
                <w:sz w:val="20"/>
                <w:lang w:val="en-US" w:eastAsia="zh-CN"/>
              </w:rPr>
            </w:pPr>
            <w:r>
              <w:rPr>
                <w:rFonts w:ascii="Times New Roman" w:hAnsi="Times New Roman" w:eastAsia="宋体" w:cs="Times New Roman"/>
                <w:i/>
                <w:iCs/>
                <w:kern w:val="0"/>
                <w:sz w:val="20"/>
                <w:szCs w:val="24"/>
                <w:lang w:val="en-GB" w:eastAsia="zh-CN"/>
              </w:rPr>
              <w:t>P</w:t>
            </w:r>
            <w:r>
              <w:rPr>
                <w:rFonts w:ascii="Times New Roman" w:hAnsi="Times New Roman" w:eastAsia="宋体" w:cs="Times New Roman"/>
                <w:i/>
                <w:iCs/>
                <w:kern w:val="0"/>
                <w:sz w:val="20"/>
                <w:szCs w:val="24"/>
                <w:vertAlign w:val="subscript"/>
                <w:lang w:val="en-GB" w:eastAsia="zh-CN"/>
              </w:rPr>
              <w:t>Cmax</w:t>
            </w:r>
            <w:r>
              <w:rPr>
                <w:rFonts w:ascii="Times New Roman" w:hAnsi="Times New Roman" w:eastAsia="宋体" w:cs="Times New Roman"/>
                <w:i/>
                <w:iCs/>
                <w:kern w:val="0"/>
                <w:sz w:val="20"/>
                <w:szCs w:val="24"/>
                <w:lang w:val="en-GB" w:eastAsia="zh-CN"/>
              </w:rPr>
              <w:t xml:space="preserve">= 29 + 10*log(1/2*(1+Min(LCRB1*SCS1,LCRB2*SCS2)/Max(LCRB1*SCS1,LCRB2*SCS2))) </w:t>
            </w:r>
            <w:r>
              <w:rPr>
                <w:rFonts w:ascii="Times New Roman" w:hAnsi="Times New Roman" w:eastAsia="Arial" w:cs="Times New Roman"/>
                <w:kern w:val="0"/>
                <w:sz w:val="20"/>
                <w:lang w:val="en-US" w:eastAsia="zh-CN"/>
              </w:rPr>
              <w:t xml:space="preserve">dBm </w:t>
            </w:r>
          </w:p>
          <w:p>
            <w:pPr>
              <w:numPr>
                <w:ilvl w:val="1"/>
                <w:numId w:val="7"/>
              </w:numPr>
              <w:overflowPunct/>
              <w:autoSpaceDE/>
              <w:autoSpaceDN/>
              <w:adjustRightInd/>
              <w:spacing w:beforeLines="-2147483648" w:after="60" w:afterLines="-2147483648" w:line="240" w:lineRule="auto"/>
              <w:ind w:left="1440"/>
              <w:jc w:val="both"/>
              <w:textAlignment w:val="auto"/>
              <w:rPr>
                <w:rFonts w:ascii="Times New Roman" w:hAnsi="Times New Roman" w:eastAsia="MS Mincho" w:cs="Times New Roman"/>
                <w:b/>
                <w:color w:val="0070C0"/>
                <w:kern w:val="0"/>
                <w:sz w:val="20"/>
                <w:szCs w:val="18"/>
                <w:u w:val="single"/>
                <w:lang w:val="en-US" w:eastAsia="ko-KR"/>
              </w:rPr>
            </w:pPr>
            <w:r>
              <w:rPr>
                <w:rFonts w:ascii="Times New Roman" w:hAnsi="Times New Roman" w:eastAsia="宋体" w:cs="Times New Roman"/>
                <w:kern w:val="0"/>
                <w:sz w:val="20"/>
                <w:szCs w:val="24"/>
                <w:lang w:val="en-GB" w:eastAsia="zh-CN"/>
              </w:rPr>
              <w:t>Option 2: (Skyworks)</w:t>
            </w:r>
          </w:p>
          <w:p>
            <w:pPr>
              <w:overflowPunct w:val="0"/>
              <w:autoSpaceDE w:val="0"/>
              <w:autoSpaceDN w:val="0"/>
              <w:adjustRightInd w:val="0"/>
              <w:spacing w:beforeLines="-2147483648" w:after="0" w:afterLines="-2147483648" w:line="240" w:lineRule="auto"/>
              <w:ind w:left="1757"/>
              <w:jc w:val="left"/>
              <w:textAlignment w:val="baseline"/>
              <w:rPr>
                <w:rFonts w:ascii="Times New Roman" w:hAnsi="Times New Roman" w:eastAsia="Arial" w:cs="Times New Roman"/>
                <w:kern w:val="0"/>
                <w:sz w:val="20"/>
                <w:lang w:val="en-US" w:eastAsia="zh-CN"/>
              </w:rPr>
            </w:pPr>
            <w:r>
              <w:rPr>
                <w:rFonts w:ascii="Times New Roman" w:hAnsi="Times New Roman" w:eastAsia="Arial" w:cs="Times New Roman"/>
                <w:kern w:val="0"/>
                <w:sz w:val="20"/>
                <w:lang w:val="en-US" w:eastAsia="zh-CN"/>
              </w:rPr>
              <w:t xml:space="preserve">MPR for Dual-PA architectures (one PA/CC, 2LO) is modified by: </w:t>
            </w:r>
            <w:r>
              <w:rPr>
                <w:rFonts w:ascii="Times New Roman" w:hAnsi="Times New Roman" w:eastAsia="Arial" w:cs="Times New Roman"/>
                <w:i/>
                <w:iCs/>
                <w:kern w:val="0"/>
                <w:sz w:val="20"/>
                <w:lang w:val="en-US" w:eastAsia="zh-CN"/>
              </w:rPr>
              <w:t xml:space="preserve">10*log(1/2*(1+Min(LCRB1*SCS1,LCRB2*SCS2)/Max(LCRB1*SCS1,LCRB2*SCS2))) </w:t>
            </w:r>
            <w:r>
              <w:rPr>
                <w:rFonts w:ascii="Times New Roman" w:hAnsi="Times New Roman" w:eastAsia="Arial" w:cs="Times New Roman"/>
                <w:kern w:val="0"/>
                <w:sz w:val="20"/>
                <w:lang w:val="en-US" w:eastAsia="zh-CN"/>
              </w:rPr>
              <w:t>dB</w:t>
            </w:r>
          </w:p>
          <w:p>
            <w:pPr>
              <w:numPr>
                <w:ilvl w:val="1"/>
                <w:numId w:val="7"/>
              </w:numPr>
              <w:overflowPunct/>
              <w:autoSpaceDE/>
              <w:autoSpaceDN/>
              <w:adjustRightInd/>
              <w:spacing w:before="120" w:beforeLines="50" w:after="60" w:afterLines="-2147483648" w:line="240" w:lineRule="auto"/>
              <w:ind w:left="1434" w:hanging="357"/>
              <w:jc w:val="both"/>
              <w:textAlignment w:val="auto"/>
              <w:rPr>
                <w:rFonts w:ascii="Times New Roman" w:hAnsi="Times New Roman" w:eastAsia="MS Mincho" w:cs="Times New Roman"/>
                <w:b/>
                <w:kern w:val="0"/>
                <w:sz w:val="20"/>
                <w:szCs w:val="18"/>
                <w:u w:val="single"/>
                <w:lang w:val="en-US" w:eastAsia="ko-KR"/>
              </w:rPr>
            </w:pPr>
            <w:r>
              <w:rPr>
                <w:rFonts w:ascii="Times New Roman" w:hAnsi="Times New Roman" w:eastAsia="宋体" w:cs="Times New Roman"/>
                <w:kern w:val="0"/>
                <w:sz w:val="20"/>
                <w:szCs w:val="24"/>
                <w:lang w:val="en-GB" w:eastAsia="zh-CN"/>
              </w:rPr>
              <w:t>Option 3: (Captured in last meeting’s WF)</w:t>
            </w:r>
          </w:p>
          <w:p>
            <w:pPr>
              <w:overflowPunct/>
              <w:autoSpaceDE/>
              <w:autoSpaceDN/>
              <w:adjustRightInd/>
              <w:spacing w:beforeLines="-2147483648" w:after="0" w:afterLines="-2147483648" w:line="240" w:lineRule="auto"/>
              <w:ind w:left="1785" w:leftChars="850"/>
              <w:jc w:val="left"/>
              <w:textAlignment w:val="auto"/>
              <w:rPr>
                <w:rFonts w:ascii="Times New Roman" w:hAnsi="Times New Roman" w:eastAsia="Arial" w:cs="Times New Roman"/>
                <w:kern w:val="0"/>
                <w:sz w:val="20"/>
                <w:lang w:val="en-US" w:eastAsia="zh-CN"/>
              </w:rPr>
            </w:pPr>
            <w:r>
              <w:rPr>
                <w:rFonts w:ascii="Times New Roman" w:hAnsi="Times New Roman" w:eastAsia="Arial" w:cs="Times New Roman"/>
                <w:kern w:val="0"/>
                <w:sz w:val="20"/>
                <w:lang w:val="en-US" w:eastAsia="zh-CN"/>
              </w:rPr>
              <w:t>For R19 PC1.5 intra-band non-contiguous /contiguous ULCA with two 26dBm PAs and one PA per CC, the P</w:t>
            </w:r>
            <w:r>
              <w:rPr>
                <w:rFonts w:ascii="Times New Roman" w:hAnsi="Times New Roman" w:eastAsia="Arial" w:cs="Times New Roman"/>
                <w:kern w:val="0"/>
                <w:sz w:val="20"/>
                <w:vertAlign w:val="subscript"/>
                <w:lang w:val="en-US" w:eastAsia="zh-CN"/>
              </w:rPr>
              <w:t>CMAX</w:t>
            </w:r>
            <w:r>
              <w:rPr>
                <w:rFonts w:ascii="Times New Roman" w:hAnsi="Times New Roman" w:eastAsia="Arial" w:cs="Times New Roman"/>
                <w:kern w:val="0"/>
                <w:sz w:val="20"/>
                <w:lang w:val="en-US" w:eastAsia="zh-CN"/>
              </w:rPr>
              <w:t xml:space="preserve"> is modified as follows to account for RB BW imbalances </w:t>
            </w:r>
          </w:p>
          <w:p>
            <w:pPr>
              <w:overflowPunct/>
              <w:autoSpaceDE/>
              <w:autoSpaceDN/>
              <w:adjustRightInd/>
              <w:spacing w:beforeLines="-2147483648" w:after="120" w:afterLines="-2147483648" w:line="240" w:lineRule="auto"/>
              <w:ind w:firstLine="1900" w:firstLineChars="950"/>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P</w:t>
            </w:r>
            <w:r>
              <w:rPr>
                <w:rFonts w:ascii="Times New Roman" w:hAnsi="Times New Roman" w:eastAsia="宋体" w:cs="Times New Roman"/>
                <w:kern w:val="0"/>
                <w:sz w:val="20"/>
                <w:szCs w:val="24"/>
                <w:vertAlign w:val="subscript"/>
                <w:lang w:val="en-GB" w:eastAsia="zh-CN"/>
              </w:rPr>
              <w:t>Cmax</w:t>
            </w:r>
            <w:r>
              <w:rPr>
                <w:rFonts w:ascii="Times New Roman" w:hAnsi="Times New Roman" w:eastAsia="宋体" w:cs="Times New Roman"/>
                <w:kern w:val="0"/>
                <w:sz w:val="20"/>
                <w:szCs w:val="24"/>
                <w:lang w:val="en-GB" w:eastAsia="zh-CN"/>
              </w:rPr>
              <w:t xml:space="preserve">=10*log(10^(26/10) + 10^((26-10*log(LCRB1*SCS1/(LCRB2*SCS2)))/10)) </w:t>
            </w:r>
          </w:p>
          <w:p>
            <w:pPr>
              <w:numPr>
                <w:ilvl w:val="1"/>
                <w:numId w:val="7"/>
              </w:numPr>
              <w:overflowPunct/>
              <w:autoSpaceDE/>
              <w:autoSpaceDN/>
              <w:adjustRightInd/>
              <w:spacing w:before="120" w:beforeLines="50" w:after="60" w:afterLines="-2147483648" w:line="240" w:lineRule="auto"/>
              <w:ind w:left="1434" w:hanging="357"/>
              <w:jc w:val="both"/>
              <w:textAlignment w:val="auto"/>
              <w:rPr>
                <w:rFonts w:ascii="Times New Roman" w:hAnsi="Times New Roman" w:eastAsia="MS Mincho" w:cs="Times New Roman"/>
                <w:b/>
                <w:kern w:val="0"/>
                <w:sz w:val="20"/>
                <w:szCs w:val="18"/>
                <w:u w:val="single"/>
                <w:lang w:val="en-US" w:eastAsia="ko-KR"/>
              </w:rPr>
            </w:pPr>
            <w:r>
              <w:rPr>
                <w:rFonts w:ascii="Times New Roman" w:hAnsi="Times New Roman" w:eastAsia="宋体" w:cs="Times New Roman"/>
                <w:kern w:val="0"/>
                <w:sz w:val="20"/>
                <w:szCs w:val="24"/>
                <w:lang w:val="en-GB" w:eastAsia="zh-CN"/>
              </w:rPr>
              <w:t>Option 4: For UEs indicating dualPA-Architecture (Architecture #1) the total configured output power P</w:t>
            </w:r>
            <w:r>
              <w:rPr>
                <w:rFonts w:ascii="Times New Roman" w:hAnsi="Times New Roman" w:eastAsia="宋体" w:cs="Times New Roman"/>
                <w:kern w:val="0"/>
                <w:sz w:val="20"/>
                <w:szCs w:val="24"/>
                <w:vertAlign w:val="subscript"/>
                <w:lang w:val="en-GB" w:eastAsia="zh-CN"/>
              </w:rPr>
              <w:t>CMAX</w:t>
            </w:r>
            <w:r>
              <w:rPr>
                <w:rFonts w:ascii="Times New Roman" w:hAnsi="Times New Roman" w:eastAsia="宋体" w:cs="Times New Roman"/>
                <w:kern w:val="0"/>
                <w:sz w:val="20"/>
                <w:szCs w:val="24"/>
                <w:lang w:val="en-GB" w:eastAsia="zh-CN"/>
              </w:rPr>
              <w:t xml:space="preserve"> for the band combination is given by clause 6.2A.4.1.3 for inter-band CA in the current version of 38.101-1, the same applies for TxD (Ericsson)</w:t>
            </w:r>
          </w:p>
          <w:p>
            <w:pPr>
              <w:keepNext/>
              <w:keepLines/>
              <w:pageBreakBefore w:val="0"/>
              <w:widowControl w:val="0"/>
              <w:numPr>
                <w:ilvl w:val="-1"/>
                <w:numId w:val="0"/>
              </w:numPr>
              <w:kinsoku/>
              <w:wordWrap/>
              <w:overflowPunct w:val="0"/>
              <w:topLinePunct w:val="0"/>
              <w:autoSpaceDE w:val="0"/>
              <w:autoSpaceDN w:val="0"/>
              <w:bidi w:val="0"/>
              <w:adjustRightInd w:val="0"/>
              <w:snapToGrid/>
              <w:spacing w:after="180"/>
              <w:jc w:val="both"/>
              <w:textAlignment w:val="baseline"/>
              <w:rPr>
                <w:rFonts w:hint="eastAsia" w:cs="Times New Roman"/>
                <w:b/>
                <w:bCs/>
                <w:sz w:val="20"/>
                <w:szCs w:val="20"/>
                <w:u w:val="single"/>
                <w:vertAlign w:val="baseline"/>
                <w:lang w:val="en-US" w:eastAsia="zh-CN"/>
              </w:rPr>
            </w:pPr>
          </w:p>
        </w:tc>
      </w:tr>
    </w:tbl>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val="0"/>
          <w:bCs w:val="0"/>
          <w:sz w:val="21"/>
          <w:szCs w:val="20"/>
          <w:u w:val="none"/>
          <w:lang w:val="en-US" w:eastAsia="zh-CN"/>
        </w:rPr>
      </w:pPr>
      <w:r>
        <w:rPr>
          <w:rFonts w:hint="eastAsia" w:cs="Times New Roman"/>
          <w:b w:val="0"/>
          <w:bCs w:val="0"/>
          <w:sz w:val="21"/>
          <w:szCs w:val="20"/>
          <w:u w:val="none"/>
          <w:lang w:val="en-US" w:eastAsia="zh-CN"/>
        </w:rPr>
        <w:t xml:space="preserve">It seems the equations in option 1/2/3 also assumed the equal PSD is applied to each carrier. We think the RF requirements should apply for any scenarios. As Pcmax means total </w:t>
      </w:r>
      <w:r>
        <w:t>configured maximum output power</w:t>
      </w:r>
      <w:r>
        <w:rPr>
          <w:rFonts w:hint="eastAsia"/>
          <w:lang w:val="en-US" w:eastAsia="zh-CN"/>
        </w:rPr>
        <w:t xml:space="preserve"> of each carrier(i.e. </w:t>
      </w:r>
      <w:r>
        <w:rPr>
          <w:rFonts w:hint="eastAsia" w:cs="Times New Roman"/>
          <w:b w:val="0"/>
          <w:bCs w:val="0"/>
          <w:sz w:val="21"/>
          <w:szCs w:val="20"/>
          <w:u w:val="none"/>
          <w:lang w:val="en-US" w:eastAsia="zh-CN"/>
        </w:rPr>
        <w:t>Pcmax,c</w:t>
      </w:r>
      <w:r>
        <w:rPr>
          <w:rFonts w:hint="eastAsia"/>
          <w:lang w:val="en-US" w:eastAsia="zh-CN"/>
        </w:rPr>
        <w:t xml:space="preserve">), so it is straightforward that the </w:t>
      </w:r>
      <w:r>
        <w:rPr>
          <w:rFonts w:hint="eastAsia" w:cs="Times New Roman"/>
          <w:b w:val="0"/>
          <w:bCs w:val="0"/>
          <w:sz w:val="21"/>
          <w:szCs w:val="20"/>
          <w:u w:val="none"/>
          <w:lang w:val="en-US" w:eastAsia="zh-CN"/>
        </w:rPr>
        <w:t>Pcmax for 2Tx architecture is limited by 29dBm.</w:t>
      </w:r>
      <w:r>
        <w:rPr>
          <w:rFonts w:hint="eastAsia"/>
          <w:lang w:val="en-US" w:eastAsia="zh-CN"/>
        </w:rPr>
        <w:t xml:space="preserve">  </w:t>
      </w:r>
    </w:p>
    <w:p>
      <w:pPr>
        <w:keepNext/>
        <w:keepLines/>
        <w:pageBreakBefore w:val="0"/>
        <w:widowControl w:val="0"/>
        <w:numPr>
          <w:ilvl w:val="-1"/>
          <w:numId w:val="0"/>
        </w:numPr>
        <w:kinsoku/>
        <w:wordWrap/>
        <w:overflowPunct w:val="0"/>
        <w:topLinePunct w:val="0"/>
        <w:autoSpaceDE w:val="0"/>
        <w:autoSpaceDN w:val="0"/>
        <w:bidi w:val="0"/>
        <w:adjustRightInd w:val="0"/>
        <w:spacing w:after="0"/>
        <w:ind w:left="0" w:leftChars="0" w:firstLine="0"/>
        <w:textAlignment w:val="baseline"/>
        <w:rPr>
          <w:rFonts w:hint="eastAsia"/>
          <w:sz w:val="20"/>
          <w:szCs w:val="20"/>
          <w:highlight w:val="none"/>
          <w:lang w:val="en-US" w:eastAsia="zh-CN"/>
        </w:rPr>
      </w:pPr>
      <w:r>
        <w:rPr>
          <w:rFonts w:hint="eastAsia"/>
          <w:b/>
          <w:bCs w:val="0"/>
          <w:i/>
          <w:iCs/>
          <w:sz w:val="20"/>
          <w:szCs w:val="20"/>
          <w:lang w:val="en-US" w:eastAsia="zh-CN"/>
        </w:rPr>
        <w:t xml:space="preserve">Proposal 3.  For </w:t>
      </w:r>
      <w:r>
        <w:rPr>
          <w:rFonts w:eastAsia="宋体"/>
          <w:b/>
          <w:i/>
          <w:iCs/>
          <w:sz w:val="20"/>
          <w:szCs w:val="20"/>
          <w:lang w:eastAsia="zh-CN"/>
        </w:rPr>
        <w:t>PC1.5 UE architecture of intra-band UL CA</w:t>
      </w:r>
      <w:r>
        <w:rPr>
          <w:rFonts w:hint="eastAsia"/>
          <w:b/>
          <w:i/>
          <w:iCs/>
          <w:sz w:val="20"/>
          <w:szCs w:val="20"/>
          <w:lang w:val="en-US" w:eastAsia="zh-CN"/>
        </w:rPr>
        <w:t xml:space="preserve">, </w:t>
      </w:r>
      <w:r>
        <w:rPr>
          <w:rFonts w:eastAsia="宋体"/>
          <w:b/>
          <w:bCs w:val="0"/>
          <w:i/>
          <w:iCs/>
          <w:sz w:val="20"/>
          <w:szCs w:val="20"/>
          <w:lang w:val="en-US" w:eastAsia="ko-KR"/>
        </w:rPr>
        <w:t>P</w:t>
      </w:r>
      <w:r>
        <w:rPr>
          <w:rFonts w:eastAsia="宋体"/>
          <w:b/>
          <w:bCs w:val="0"/>
          <w:i/>
          <w:iCs/>
          <w:sz w:val="20"/>
          <w:szCs w:val="20"/>
          <w:vertAlign w:val="subscript"/>
          <w:lang w:val="en-US" w:eastAsia="ko-KR"/>
        </w:rPr>
        <w:t>CMAX</w:t>
      </w:r>
      <w:r>
        <w:rPr>
          <w:rFonts w:eastAsia="宋体"/>
          <w:b/>
          <w:bCs w:val="0"/>
          <w:i/>
          <w:iCs/>
          <w:sz w:val="20"/>
          <w:szCs w:val="20"/>
          <w:lang w:val="en-US" w:eastAsia="ko-KR"/>
        </w:rPr>
        <w:t xml:space="preserve"> limitation for </w:t>
      </w:r>
      <w:r>
        <w:rPr>
          <w:rFonts w:hint="eastAsia"/>
          <w:b/>
          <w:bCs w:val="0"/>
          <w:i/>
          <w:iCs/>
          <w:sz w:val="20"/>
          <w:szCs w:val="20"/>
          <w:lang w:val="en-US" w:eastAsia="zh-CN"/>
        </w:rPr>
        <w:t>2Tx architecture</w:t>
      </w:r>
      <w:r>
        <w:rPr>
          <w:rFonts w:eastAsia="宋体"/>
          <w:b/>
          <w:bCs w:val="0"/>
          <w:i/>
          <w:iCs/>
          <w:sz w:val="20"/>
          <w:szCs w:val="20"/>
          <w:lang w:val="en-US" w:eastAsia="ko-KR"/>
        </w:rPr>
        <w:t xml:space="preserve"> is 2</w:t>
      </w:r>
      <w:r>
        <w:rPr>
          <w:rFonts w:hint="eastAsia"/>
          <w:b/>
          <w:bCs w:val="0"/>
          <w:i/>
          <w:iCs/>
          <w:sz w:val="20"/>
          <w:szCs w:val="20"/>
          <w:lang w:val="en-US" w:eastAsia="zh-CN"/>
        </w:rPr>
        <w:t>9</w:t>
      </w:r>
      <w:r>
        <w:rPr>
          <w:rFonts w:eastAsia="宋体"/>
          <w:b/>
          <w:bCs w:val="0"/>
          <w:i/>
          <w:iCs/>
          <w:sz w:val="20"/>
          <w:szCs w:val="20"/>
          <w:lang w:val="en-US" w:eastAsia="ko-KR"/>
        </w:rPr>
        <w:t>dBm</w:t>
      </w:r>
      <w:r>
        <w:rPr>
          <w:rFonts w:hint="eastAsia"/>
          <w:b/>
          <w:bCs w:val="0"/>
          <w:i/>
          <w:iCs/>
          <w:sz w:val="20"/>
          <w:szCs w:val="20"/>
          <w:lang w:val="en-US" w:eastAsia="zh-CN"/>
        </w:rPr>
        <w:t>.</w:t>
      </w:r>
      <w:bookmarkEnd w:id="13"/>
      <w:bookmarkEnd w:id="18"/>
    </w:p>
    <w:bookmarkEnd w:id="14"/>
    <w:bookmarkEnd w:id="15"/>
    <w:bookmarkEnd w:id="16"/>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 xml:space="preserve">we give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 xml:space="preserve">discussions on </w:t>
      </w:r>
      <w:r>
        <w:rPr>
          <w:rFonts w:hint="eastAsia" w:cs="Times New Roman"/>
          <w:sz w:val="20"/>
          <w:szCs w:val="20"/>
          <w:lang w:val="en-US" w:eastAsia="zh-CN"/>
        </w:rPr>
        <w:t xml:space="preserve">PC1.5 </w:t>
      </w:r>
      <w:r>
        <w:rPr>
          <w:rFonts w:hint="eastAsia" w:cs="Times New Roman"/>
          <w:sz w:val="20"/>
          <w:szCs w:val="20"/>
          <w:lang w:val="en-US" w:eastAsia="ja-JP"/>
        </w:rPr>
        <w:t>Intra-band contiguous and non-contiguous UL CA</w:t>
      </w:r>
      <w:r>
        <w:rPr>
          <w:rFonts w:hint="eastAsia" w:cs="Times New Roman"/>
          <w:sz w:val="20"/>
          <w:szCs w:val="20"/>
          <w:lang w:val="en-US" w:eastAsia="zh-CN"/>
        </w:rPr>
        <w:t>.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widowControl w:val="0"/>
        <w:numPr>
          <w:ilvl w:val="-1"/>
          <w:numId w:val="0"/>
        </w:numPr>
        <w:overflowPunct w:val="0"/>
        <w:autoSpaceDE w:val="0"/>
        <w:autoSpaceDN w:val="0"/>
        <w:adjustRightInd w:val="0"/>
        <w:spacing w:after="0"/>
        <w:ind w:left="0" w:leftChars="0" w:firstLine="0"/>
        <w:textAlignment w:val="baseline"/>
        <w:rPr>
          <w:rFonts w:hint="eastAsia"/>
          <w:b/>
          <w:bCs w:val="0"/>
          <w:i/>
          <w:iCs/>
          <w:sz w:val="20"/>
          <w:szCs w:val="20"/>
          <w:lang w:val="en-US" w:eastAsia="zh-CN"/>
        </w:rPr>
      </w:pPr>
      <w:r>
        <w:rPr>
          <w:rFonts w:hint="eastAsia"/>
          <w:b/>
          <w:bCs w:val="0"/>
          <w:i/>
          <w:iCs/>
          <w:sz w:val="20"/>
          <w:szCs w:val="20"/>
          <w:lang w:val="en-US" w:eastAsia="zh-CN"/>
        </w:rPr>
        <w:t>Proposal 1: For duty cycle based SAR solution, reu</w:t>
      </w:r>
      <w:r>
        <w:rPr>
          <w:rFonts w:hint="default"/>
          <w:b/>
          <w:bCs w:val="0"/>
          <w:i/>
          <w:iCs/>
          <w:sz w:val="20"/>
          <w:szCs w:val="20"/>
          <w:lang w:val="en-US" w:eastAsia="zh-CN"/>
        </w:rPr>
        <w:t xml:space="preserve">se the </w:t>
      </w:r>
      <w:r>
        <w:rPr>
          <w:rFonts w:hint="eastAsia"/>
          <w:b/>
          <w:bCs w:val="0"/>
          <w:i/>
          <w:iCs/>
          <w:sz w:val="20"/>
          <w:szCs w:val="20"/>
          <w:lang w:val="en-US" w:eastAsia="zh-CN"/>
        </w:rPr>
        <w:t xml:space="preserve">PC1.5 </w:t>
      </w:r>
      <w:r>
        <w:rPr>
          <w:rFonts w:hint="default"/>
          <w:b/>
          <w:bCs w:val="0"/>
          <w:i/>
          <w:iCs/>
          <w:sz w:val="20"/>
          <w:szCs w:val="20"/>
          <w:lang w:val="en-US" w:eastAsia="zh-CN"/>
        </w:rPr>
        <w:t xml:space="preserve">single CC </w:t>
      </w:r>
      <w:r>
        <w:rPr>
          <w:rFonts w:hint="eastAsia"/>
          <w:b/>
          <w:bCs w:val="0"/>
          <w:i/>
          <w:iCs/>
          <w:sz w:val="20"/>
          <w:szCs w:val="20"/>
          <w:lang w:val="en-US" w:eastAsia="zh-CN"/>
        </w:rPr>
        <w:t xml:space="preserve">capability for PC1.5 TDD UL intra-band contiguous and non-contiguous CA. </w:t>
      </w:r>
    </w:p>
    <w:p>
      <w:pPr>
        <w:keepNext/>
        <w:keepLines/>
        <w:widowControl w:val="0"/>
        <w:numPr>
          <w:ilvl w:val="-1"/>
          <w:numId w:val="0"/>
        </w:numPr>
        <w:overflowPunct w:val="0"/>
        <w:autoSpaceDE w:val="0"/>
        <w:autoSpaceDN w:val="0"/>
        <w:adjustRightInd w:val="0"/>
        <w:spacing w:after="0"/>
        <w:ind w:left="0" w:leftChars="0" w:firstLine="0"/>
        <w:textAlignment w:val="baseline"/>
        <w:rPr>
          <w:rFonts w:hint="eastAsia"/>
          <w:b/>
          <w:i/>
          <w:iCs/>
          <w:sz w:val="20"/>
          <w:szCs w:val="20"/>
          <w:lang w:val="en-US" w:eastAsia="zh-CN"/>
        </w:rPr>
      </w:pPr>
      <w:r>
        <w:rPr>
          <w:rFonts w:hint="eastAsia"/>
          <w:b/>
          <w:bCs w:val="0"/>
          <w:i/>
          <w:iCs/>
          <w:sz w:val="20"/>
          <w:szCs w:val="20"/>
          <w:lang w:val="en-US" w:eastAsia="zh-CN"/>
        </w:rPr>
        <w:t xml:space="preserve">Proposal 2.  For the </w:t>
      </w:r>
      <w:r>
        <w:rPr>
          <w:rFonts w:eastAsia="宋体"/>
          <w:b/>
          <w:bCs w:val="0"/>
          <w:i/>
          <w:iCs/>
          <w:sz w:val="20"/>
          <w:szCs w:val="20"/>
          <w:lang w:val="en-US" w:eastAsia="ko-KR"/>
        </w:rPr>
        <w:t>P</w:t>
      </w:r>
      <w:r>
        <w:rPr>
          <w:rFonts w:eastAsia="宋体"/>
          <w:b/>
          <w:bCs w:val="0"/>
          <w:i/>
          <w:iCs/>
          <w:sz w:val="20"/>
          <w:szCs w:val="20"/>
          <w:vertAlign w:val="subscript"/>
          <w:lang w:val="en-US" w:eastAsia="ko-KR"/>
        </w:rPr>
        <w:t>CMAX,C</w:t>
      </w:r>
      <w:r>
        <w:rPr>
          <w:rFonts w:hint="eastAsia"/>
          <w:b/>
          <w:bCs w:val="0"/>
          <w:i/>
          <w:iCs/>
          <w:sz w:val="20"/>
          <w:szCs w:val="20"/>
          <w:lang w:val="en-US" w:eastAsia="zh-CN"/>
        </w:rPr>
        <w:t xml:space="preserve"> of </w:t>
      </w:r>
      <w:r>
        <w:rPr>
          <w:rFonts w:eastAsia="宋体"/>
          <w:b/>
          <w:i/>
          <w:iCs/>
          <w:sz w:val="20"/>
          <w:szCs w:val="20"/>
          <w:lang w:eastAsia="zh-CN"/>
        </w:rPr>
        <w:t>PC1.5 UE architecture of intra-band UL CA</w:t>
      </w:r>
      <w:r>
        <w:rPr>
          <w:rFonts w:hint="eastAsia"/>
          <w:b/>
          <w:i/>
          <w:iCs/>
          <w:sz w:val="20"/>
          <w:szCs w:val="20"/>
          <w:lang w:val="en-US" w:eastAsia="zh-CN"/>
        </w:rPr>
        <w:t>:</w:t>
      </w:r>
    </w:p>
    <w:p>
      <w:pPr>
        <w:keepNext/>
        <w:keepLines/>
        <w:pageBreakBefore w:val="0"/>
        <w:numPr>
          <w:ilvl w:val="0"/>
          <w:numId w:val="7"/>
        </w:numPr>
        <w:kinsoku/>
        <w:wordWrap/>
        <w:overflowPunct/>
        <w:topLinePunct w:val="0"/>
        <w:autoSpaceDE/>
        <w:autoSpaceDN/>
        <w:bidi w:val="0"/>
        <w:adjustRightInd/>
        <w:spacing w:after="120"/>
        <w:ind w:left="2037" w:leftChars="800" w:hanging="357"/>
        <w:textAlignment w:val="auto"/>
        <w:rPr>
          <w:rFonts w:eastAsia="宋体"/>
          <w:b/>
          <w:bCs w:val="0"/>
          <w:i/>
          <w:iCs/>
          <w:sz w:val="20"/>
          <w:szCs w:val="20"/>
          <w:lang w:val="en-US" w:eastAsia="ko-KR"/>
        </w:rPr>
      </w:pPr>
      <w:r>
        <w:rPr>
          <w:rFonts w:hint="eastAsia" w:eastAsia="宋体"/>
          <w:b/>
          <w:bCs w:val="0"/>
          <w:i/>
          <w:iCs/>
          <w:sz w:val="20"/>
          <w:szCs w:val="20"/>
          <w:lang w:val="en-US" w:eastAsia="ko-KR"/>
        </w:rPr>
        <w:t>For dualPA-architecture</w:t>
      </w:r>
    </w:p>
    <w:p>
      <w:pPr>
        <w:keepNext/>
        <w:keepLines/>
        <w:pageBreakBefore w:val="0"/>
        <w:numPr>
          <w:ilvl w:val="1"/>
          <w:numId w:val="7"/>
        </w:numPr>
        <w:kinsoku/>
        <w:wordWrap/>
        <w:overflowPunct/>
        <w:topLinePunct w:val="0"/>
        <w:autoSpaceDE/>
        <w:autoSpaceDN/>
        <w:bidi w:val="0"/>
        <w:adjustRightInd/>
        <w:spacing w:after="120"/>
        <w:ind w:left="2457" w:leftChars="1000" w:hanging="357"/>
        <w:textAlignment w:val="auto"/>
        <w:rPr>
          <w:rFonts w:eastAsia="宋体"/>
          <w:b/>
          <w:bCs w:val="0"/>
          <w:i/>
          <w:iCs/>
          <w:sz w:val="20"/>
          <w:szCs w:val="20"/>
          <w:lang w:val="en-US" w:eastAsia="ko-KR"/>
        </w:rPr>
      </w:pPr>
      <w:r>
        <w:rPr>
          <w:rFonts w:eastAsia="宋体"/>
          <w:b/>
          <w:bCs w:val="0"/>
          <w:i/>
          <w:iCs/>
          <w:sz w:val="20"/>
          <w:szCs w:val="20"/>
          <w:lang w:val="en-US" w:eastAsia="ko-KR"/>
        </w:rPr>
        <w:t>P</w:t>
      </w:r>
      <w:r>
        <w:rPr>
          <w:rFonts w:eastAsia="宋体"/>
          <w:b/>
          <w:bCs w:val="0"/>
          <w:i/>
          <w:iCs/>
          <w:sz w:val="20"/>
          <w:szCs w:val="20"/>
          <w:vertAlign w:val="subscript"/>
          <w:lang w:val="en-US" w:eastAsia="ko-KR"/>
        </w:rPr>
        <w:t>CMAX,C</w:t>
      </w:r>
      <w:r>
        <w:rPr>
          <w:rFonts w:eastAsia="宋体"/>
          <w:b/>
          <w:bCs w:val="0"/>
          <w:i/>
          <w:iCs/>
          <w:sz w:val="20"/>
          <w:szCs w:val="20"/>
          <w:lang w:val="en-US" w:eastAsia="ko-KR"/>
        </w:rPr>
        <w:t xml:space="preserve"> limitation for each component carrier is 26dBm</w:t>
      </w:r>
    </w:p>
    <w:p>
      <w:pPr>
        <w:keepNext/>
        <w:keepLines/>
        <w:pageBreakBefore w:val="0"/>
        <w:numPr>
          <w:ilvl w:val="0"/>
          <w:numId w:val="7"/>
        </w:numPr>
        <w:kinsoku/>
        <w:wordWrap/>
        <w:overflowPunct/>
        <w:topLinePunct w:val="0"/>
        <w:autoSpaceDE/>
        <w:autoSpaceDN/>
        <w:bidi w:val="0"/>
        <w:adjustRightInd/>
        <w:spacing w:after="120"/>
        <w:ind w:left="2037" w:leftChars="800" w:hanging="357"/>
        <w:textAlignment w:val="auto"/>
        <w:rPr>
          <w:rFonts w:eastAsia="宋体"/>
          <w:b/>
          <w:bCs w:val="0"/>
          <w:i/>
          <w:iCs/>
          <w:sz w:val="20"/>
          <w:szCs w:val="20"/>
          <w:lang w:val="en-US" w:eastAsia="ko-KR"/>
        </w:rPr>
      </w:pPr>
      <w:r>
        <w:rPr>
          <w:rFonts w:hint="eastAsia" w:eastAsia="宋体"/>
          <w:b/>
          <w:bCs w:val="0"/>
          <w:i/>
          <w:iCs/>
          <w:sz w:val="20"/>
          <w:szCs w:val="20"/>
          <w:lang w:val="en-US" w:eastAsia="ko-KR"/>
        </w:rPr>
        <w:t xml:space="preserve">For </w:t>
      </w:r>
      <w:r>
        <w:rPr>
          <w:rFonts w:hint="eastAsia"/>
          <w:b/>
          <w:bCs w:val="0"/>
          <w:i/>
          <w:iCs/>
          <w:sz w:val="20"/>
          <w:szCs w:val="20"/>
          <w:lang w:val="en-US" w:eastAsia="zh-CN"/>
        </w:rPr>
        <w:t>TxD(dualTx)</w:t>
      </w:r>
    </w:p>
    <w:p>
      <w:pPr>
        <w:keepNext/>
        <w:keepLines/>
        <w:pageBreakBefore w:val="0"/>
        <w:numPr>
          <w:ilvl w:val="1"/>
          <w:numId w:val="7"/>
        </w:numPr>
        <w:kinsoku/>
        <w:wordWrap/>
        <w:overflowPunct/>
        <w:topLinePunct w:val="0"/>
        <w:autoSpaceDE/>
        <w:autoSpaceDN/>
        <w:bidi w:val="0"/>
        <w:adjustRightInd/>
        <w:spacing w:after="120"/>
        <w:ind w:left="2457" w:leftChars="1000" w:hanging="357"/>
        <w:textAlignment w:val="auto"/>
        <w:rPr>
          <w:rFonts w:eastAsia="宋体"/>
          <w:b/>
          <w:bCs w:val="0"/>
          <w:i/>
          <w:iCs/>
          <w:sz w:val="20"/>
          <w:szCs w:val="20"/>
          <w:lang w:val="en-US" w:eastAsia="ko-KR"/>
        </w:rPr>
      </w:pPr>
      <w:r>
        <w:rPr>
          <w:rFonts w:eastAsia="宋体"/>
          <w:b/>
          <w:bCs w:val="0"/>
          <w:i/>
          <w:iCs/>
          <w:sz w:val="20"/>
          <w:szCs w:val="20"/>
          <w:lang w:val="en-US" w:eastAsia="ko-KR"/>
        </w:rPr>
        <w:t>P</w:t>
      </w:r>
      <w:r>
        <w:rPr>
          <w:rFonts w:eastAsia="宋体"/>
          <w:b/>
          <w:bCs w:val="0"/>
          <w:i/>
          <w:iCs/>
          <w:sz w:val="20"/>
          <w:szCs w:val="20"/>
          <w:vertAlign w:val="subscript"/>
          <w:lang w:val="en-US" w:eastAsia="ko-KR"/>
        </w:rPr>
        <w:t>CMAX,C</w:t>
      </w:r>
      <w:r>
        <w:rPr>
          <w:rFonts w:eastAsia="宋体"/>
          <w:b/>
          <w:bCs w:val="0"/>
          <w:i/>
          <w:iCs/>
          <w:sz w:val="20"/>
          <w:szCs w:val="20"/>
          <w:lang w:val="en-US" w:eastAsia="ko-KR"/>
        </w:rPr>
        <w:t xml:space="preserve"> limitation for each component carrier is 2</w:t>
      </w:r>
      <w:r>
        <w:rPr>
          <w:rFonts w:hint="eastAsia"/>
          <w:b/>
          <w:bCs w:val="0"/>
          <w:i/>
          <w:iCs/>
          <w:sz w:val="20"/>
          <w:szCs w:val="20"/>
          <w:lang w:val="en-US" w:eastAsia="zh-CN"/>
        </w:rPr>
        <w:t>9</w:t>
      </w:r>
      <w:r>
        <w:rPr>
          <w:rFonts w:eastAsia="宋体"/>
          <w:b/>
          <w:bCs w:val="0"/>
          <w:i/>
          <w:iCs/>
          <w:sz w:val="20"/>
          <w:szCs w:val="20"/>
          <w:lang w:val="en-US" w:eastAsia="ko-KR"/>
        </w:rPr>
        <w:t>dBm</w:t>
      </w:r>
    </w:p>
    <w:p>
      <w:pPr>
        <w:keepNext/>
        <w:keepLines/>
        <w:pageBreakBefore w:val="0"/>
        <w:widowControl w:val="0"/>
        <w:numPr>
          <w:ilvl w:val="-1"/>
          <w:numId w:val="0"/>
        </w:numPr>
        <w:kinsoku/>
        <w:wordWrap/>
        <w:overflowPunct w:val="0"/>
        <w:topLinePunct w:val="0"/>
        <w:autoSpaceDE w:val="0"/>
        <w:autoSpaceDN w:val="0"/>
        <w:bidi w:val="0"/>
        <w:adjustRightInd w:val="0"/>
        <w:spacing w:after="0"/>
        <w:ind w:left="0" w:leftChars="0" w:firstLine="0"/>
        <w:textAlignment w:val="baseline"/>
        <w:rPr>
          <w:rFonts w:hint="eastAsia" w:eastAsia="宋体"/>
          <w:b/>
          <w:bCs w:val="0"/>
          <w:i/>
          <w:iCs/>
          <w:sz w:val="20"/>
          <w:szCs w:val="20"/>
          <w:lang w:val="en-US" w:eastAsia="zh-CN"/>
        </w:rPr>
      </w:pPr>
      <w:r>
        <w:rPr>
          <w:rFonts w:hint="eastAsia"/>
          <w:b/>
          <w:bCs w:val="0"/>
          <w:i/>
          <w:iCs/>
          <w:sz w:val="20"/>
          <w:szCs w:val="20"/>
          <w:lang w:val="en-US" w:eastAsia="zh-CN"/>
        </w:rPr>
        <w:t xml:space="preserve">Proposal 3.  For </w:t>
      </w:r>
      <w:r>
        <w:rPr>
          <w:rFonts w:eastAsia="宋体"/>
          <w:b/>
          <w:i/>
          <w:iCs/>
          <w:sz w:val="20"/>
          <w:szCs w:val="20"/>
          <w:lang w:eastAsia="zh-CN"/>
        </w:rPr>
        <w:t>PC1.5 UE architecture of intra-band UL CA</w:t>
      </w:r>
      <w:r>
        <w:rPr>
          <w:rFonts w:hint="eastAsia"/>
          <w:b/>
          <w:i/>
          <w:iCs/>
          <w:sz w:val="20"/>
          <w:szCs w:val="20"/>
          <w:lang w:val="en-US" w:eastAsia="zh-CN"/>
        </w:rPr>
        <w:t xml:space="preserve">, </w:t>
      </w:r>
      <w:r>
        <w:rPr>
          <w:rFonts w:eastAsia="宋体"/>
          <w:b/>
          <w:bCs w:val="0"/>
          <w:i/>
          <w:iCs/>
          <w:sz w:val="20"/>
          <w:szCs w:val="20"/>
          <w:lang w:val="en-US" w:eastAsia="ko-KR"/>
        </w:rPr>
        <w:t>P</w:t>
      </w:r>
      <w:r>
        <w:rPr>
          <w:rFonts w:eastAsia="宋体"/>
          <w:b/>
          <w:bCs w:val="0"/>
          <w:i/>
          <w:iCs/>
          <w:sz w:val="20"/>
          <w:szCs w:val="20"/>
          <w:vertAlign w:val="subscript"/>
          <w:lang w:val="en-US" w:eastAsia="ko-KR"/>
        </w:rPr>
        <w:t>CMAX</w:t>
      </w:r>
      <w:r>
        <w:rPr>
          <w:rFonts w:eastAsia="宋体"/>
          <w:b/>
          <w:bCs w:val="0"/>
          <w:i/>
          <w:iCs/>
          <w:sz w:val="20"/>
          <w:szCs w:val="20"/>
          <w:lang w:val="en-US" w:eastAsia="ko-KR"/>
        </w:rPr>
        <w:t xml:space="preserve"> limitation for </w:t>
      </w:r>
      <w:r>
        <w:rPr>
          <w:rFonts w:hint="eastAsia"/>
          <w:b/>
          <w:bCs w:val="0"/>
          <w:i/>
          <w:iCs/>
          <w:sz w:val="20"/>
          <w:szCs w:val="20"/>
          <w:lang w:val="en-US" w:eastAsia="zh-CN"/>
        </w:rPr>
        <w:t>2Tx architecture</w:t>
      </w:r>
      <w:r>
        <w:rPr>
          <w:rFonts w:eastAsia="宋体"/>
          <w:b/>
          <w:bCs w:val="0"/>
          <w:i/>
          <w:iCs/>
          <w:sz w:val="20"/>
          <w:szCs w:val="20"/>
          <w:lang w:val="en-US" w:eastAsia="ko-KR"/>
        </w:rPr>
        <w:t xml:space="preserve"> is 2</w:t>
      </w:r>
      <w:r>
        <w:rPr>
          <w:rFonts w:hint="eastAsia"/>
          <w:b/>
          <w:bCs w:val="0"/>
          <w:i/>
          <w:iCs/>
          <w:sz w:val="20"/>
          <w:szCs w:val="20"/>
          <w:lang w:val="en-US" w:eastAsia="zh-CN"/>
        </w:rPr>
        <w:t>9</w:t>
      </w:r>
      <w:r>
        <w:rPr>
          <w:rFonts w:eastAsia="宋体"/>
          <w:b/>
          <w:bCs w:val="0"/>
          <w:i/>
          <w:iCs/>
          <w:sz w:val="20"/>
          <w:szCs w:val="20"/>
          <w:lang w:val="en-US" w:eastAsia="ko-KR"/>
        </w:rPr>
        <w:t>dBm</w:t>
      </w:r>
      <w:r>
        <w:rPr>
          <w:rFonts w:hint="eastAsia"/>
          <w:b/>
          <w:bCs w:val="0"/>
          <w:i/>
          <w:iCs/>
          <w:sz w:val="20"/>
          <w:szCs w:val="20"/>
          <w:lang w:val="en-US" w:eastAsia="zh-CN"/>
        </w:rPr>
        <w:t>.</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[1]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"http://10.10.10.10/ftp/RAN/RAN4/Inbox/R4-2410750.zip" </w:instrText>
      </w:r>
      <w:r>
        <w:rPr>
          <w:rFonts w:hint="eastAsia"/>
          <w:sz w:val="20"/>
          <w:szCs w:val="20"/>
          <w:lang w:val="en-US" w:eastAsia="zh-CN"/>
        </w:rPr>
        <w:fldChar w:fldCharType="separate"/>
      </w:r>
      <w:r>
        <w:rPr>
          <w:rFonts w:hint="eastAsia"/>
          <w:sz w:val="20"/>
          <w:szCs w:val="20"/>
          <w:lang w:val="en-US" w:eastAsia="en-GB"/>
        </w:rPr>
        <w:t>R4-2410750</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high power UE</w:t>
      </w:r>
      <w:r>
        <w:rPr>
          <w:rFonts w:hint="eastAsia"/>
          <w:sz w:val="20"/>
          <w:szCs w:val="20"/>
          <w:lang w:val="en-US" w:eastAsia="zh-CN"/>
        </w:rPr>
        <w:t xml:space="preserve">, </w:t>
      </w:r>
      <w:r>
        <w:rPr>
          <w:rFonts w:hint="eastAsia"/>
          <w:sz w:val="20"/>
          <w:szCs w:val="20"/>
          <w:lang w:val="en-US" w:eastAsia="en-GB"/>
        </w:rPr>
        <w:t>Samsung</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[2] R4-2408351, On R19 PC1.5 </w:t>
      </w:r>
      <w:r>
        <w:rPr>
          <w:rFonts w:hint="eastAsia"/>
          <w:sz w:val="20"/>
          <w:szCs w:val="20"/>
          <w:lang w:val="en-US" w:eastAsia="ja-JP"/>
        </w:rPr>
        <w:t>Intra-band contiguous and non-contiguous UL CA</w:t>
      </w:r>
      <w:r>
        <w:rPr>
          <w:rFonts w:hint="eastAsia"/>
          <w:sz w:val="20"/>
          <w:szCs w:val="20"/>
          <w:lang w:val="en-US" w:eastAsia="zh-CN"/>
        </w:rPr>
        <w:t>, ZTE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宋体"/>
          <w:sz w:val="20"/>
          <w:szCs w:val="20"/>
          <w:lang w:val="en-US" w:eastAsia="zh-CN"/>
        </w:rPr>
      </w:pPr>
      <w:r>
        <w:rPr>
          <w:rFonts w:hint="eastAsia"/>
          <w:sz w:val="20"/>
          <w:szCs w:val="20"/>
          <w:lang w:val="en-US" w:eastAsia="zh-CN"/>
        </w:rPr>
        <w:t xml:space="preserve">[3] </w:t>
      </w:r>
      <w:r>
        <w:rPr>
          <w:rFonts w:hint="eastAsia"/>
          <w:sz w:val="20"/>
          <w:szCs w:val="20"/>
          <w:lang w:val="en-US" w:eastAsia="en-GB"/>
        </w:rPr>
        <w:fldChar w:fldCharType="begin"/>
      </w:r>
      <w:r>
        <w:rPr>
          <w:rFonts w:hint="eastAsia"/>
          <w:sz w:val="20"/>
          <w:szCs w:val="20"/>
          <w:lang w:val="en-US" w:eastAsia="en-GB"/>
        </w:rPr>
        <w:instrText xml:space="preserve"> HYPERLINK "file:///D:\\RAN4%23111\\Docs\\R4-2408936.zip" </w:instrText>
      </w:r>
      <w:r>
        <w:rPr>
          <w:rFonts w:hint="eastAsia"/>
          <w:sz w:val="20"/>
          <w:szCs w:val="20"/>
          <w:lang w:val="en-US" w:eastAsia="en-GB"/>
        </w:rPr>
        <w:fldChar w:fldCharType="separate"/>
      </w:r>
      <w:r>
        <w:rPr>
          <w:rFonts w:hint="eastAsia"/>
          <w:sz w:val="20"/>
          <w:szCs w:val="20"/>
          <w:lang w:val="en-US" w:eastAsia="en-GB"/>
        </w:rPr>
        <w:t>R4-2408936</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Topic summary for [111][125] NR_ENDC_RF_Ph4_part2</w:t>
      </w:r>
      <w:r>
        <w:rPr>
          <w:rFonts w:hint="eastAsia"/>
          <w:sz w:val="20"/>
          <w:szCs w:val="20"/>
          <w:lang w:val="en-US" w:eastAsia="zh-CN"/>
        </w:rPr>
        <w:t xml:space="preserve">, </w:t>
      </w:r>
      <w:r>
        <w:rPr>
          <w:rFonts w:hint="eastAsia"/>
          <w:sz w:val="20"/>
          <w:szCs w:val="20"/>
          <w:lang w:val="en-US" w:eastAsia="en-GB"/>
        </w:rPr>
        <w:t>Samsung</w:t>
      </w:r>
      <w:r>
        <w:rPr>
          <w:rFonts w:hint="eastAsia"/>
          <w:sz w:val="20"/>
          <w:szCs w:val="20"/>
          <w:lang w:val="en-US" w:eastAsia="zh-CN"/>
        </w:rPr>
        <w:t>(Moderator)</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eastAsiaTheme="minor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rinda">
    <w:altName w:val="Segoe Print"/>
    <w:panose1 w:val="000004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8CC6529"/>
    <w:multiLevelType w:val="multilevel"/>
    <w:tmpl w:val="58CC6529"/>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Wingdings" w:hAnsi="Wingdings"/>
      </w:rPr>
    </w:lvl>
    <w:lvl w:ilvl="2" w:tentative="0">
      <w:start w:val="2"/>
      <w:numFmt w:val="bullet"/>
      <w:lvlText w:val="-"/>
      <w:lvlJc w:val="left"/>
      <w:pPr>
        <w:ind w:left="2376" w:hanging="360"/>
      </w:pPr>
      <w:rPr>
        <w:rFonts w:hint="default" w:ascii="Times New Roman" w:hAnsi="Times New Roman" w:eastAsia="宋体"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29526D"/>
    <w:rsid w:val="014A0623"/>
    <w:rsid w:val="014C6B63"/>
    <w:rsid w:val="01536583"/>
    <w:rsid w:val="01764F01"/>
    <w:rsid w:val="01795BD9"/>
    <w:rsid w:val="018107C9"/>
    <w:rsid w:val="01815F85"/>
    <w:rsid w:val="01837FEF"/>
    <w:rsid w:val="01854FE9"/>
    <w:rsid w:val="018E207B"/>
    <w:rsid w:val="0190283E"/>
    <w:rsid w:val="019B32C6"/>
    <w:rsid w:val="019D155B"/>
    <w:rsid w:val="01A428BB"/>
    <w:rsid w:val="01AE307F"/>
    <w:rsid w:val="01B35169"/>
    <w:rsid w:val="01BB2C67"/>
    <w:rsid w:val="01BF0B5D"/>
    <w:rsid w:val="01C00B7B"/>
    <w:rsid w:val="01D11357"/>
    <w:rsid w:val="01D46B8D"/>
    <w:rsid w:val="01D866D8"/>
    <w:rsid w:val="01EE2663"/>
    <w:rsid w:val="01F31C8D"/>
    <w:rsid w:val="01F90434"/>
    <w:rsid w:val="01FB366B"/>
    <w:rsid w:val="01FD3930"/>
    <w:rsid w:val="021B7C87"/>
    <w:rsid w:val="0221260B"/>
    <w:rsid w:val="022D4A6E"/>
    <w:rsid w:val="023B0A39"/>
    <w:rsid w:val="023C78A7"/>
    <w:rsid w:val="02444B7E"/>
    <w:rsid w:val="024A5964"/>
    <w:rsid w:val="024B023C"/>
    <w:rsid w:val="024D6B6A"/>
    <w:rsid w:val="024F6C8C"/>
    <w:rsid w:val="02504E6F"/>
    <w:rsid w:val="02510B5E"/>
    <w:rsid w:val="02566C17"/>
    <w:rsid w:val="02655431"/>
    <w:rsid w:val="02692E98"/>
    <w:rsid w:val="027275A1"/>
    <w:rsid w:val="027371D9"/>
    <w:rsid w:val="0276366F"/>
    <w:rsid w:val="027C45A5"/>
    <w:rsid w:val="027F646E"/>
    <w:rsid w:val="028F6D4C"/>
    <w:rsid w:val="02933CBB"/>
    <w:rsid w:val="02951DBD"/>
    <w:rsid w:val="029A69A7"/>
    <w:rsid w:val="029B04E7"/>
    <w:rsid w:val="029D7AB8"/>
    <w:rsid w:val="02A10998"/>
    <w:rsid w:val="02A705C7"/>
    <w:rsid w:val="02AB0FBC"/>
    <w:rsid w:val="02AE6812"/>
    <w:rsid w:val="02B22D9F"/>
    <w:rsid w:val="02D16C80"/>
    <w:rsid w:val="02DC3F9C"/>
    <w:rsid w:val="02E14F55"/>
    <w:rsid w:val="02F900F0"/>
    <w:rsid w:val="03047DDD"/>
    <w:rsid w:val="03073BDC"/>
    <w:rsid w:val="03086405"/>
    <w:rsid w:val="030B0647"/>
    <w:rsid w:val="030B2860"/>
    <w:rsid w:val="030C40C1"/>
    <w:rsid w:val="030D2F0B"/>
    <w:rsid w:val="030F3B4D"/>
    <w:rsid w:val="03350E4E"/>
    <w:rsid w:val="033C68CE"/>
    <w:rsid w:val="03445E8F"/>
    <w:rsid w:val="03496C64"/>
    <w:rsid w:val="035154D3"/>
    <w:rsid w:val="03527C38"/>
    <w:rsid w:val="03557185"/>
    <w:rsid w:val="0356746F"/>
    <w:rsid w:val="03620451"/>
    <w:rsid w:val="03642E26"/>
    <w:rsid w:val="036E37C2"/>
    <w:rsid w:val="03746F87"/>
    <w:rsid w:val="03780D14"/>
    <w:rsid w:val="037828CA"/>
    <w:rsid w:val="03814F5B"/>
    <w:rsid w:val="038B3141"/>
    <w:rsid w:val="03970C22"/>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C51EB"/>
    <w:rsid w:val="04D76DDC"/>
    <w:rsid w:val="04DA1A87"/>
    <w:rsid w:val="04DD0A04"/>
    <w:rsid w:val="04DE2DA3"/>
    <w:rsid w:val="04EB6DF8"/>
    <w:rsid w:val="04FE0DF4"/>
    <w:rsid w:val="04FF1C94"/>
    <w:rsid w:val="04FF7D5A"/>
    <w:rsid w:val="0502349F"/>
    <w:rsid w:val="05061BBF"/>
    <w:rsid w:val="050E7487"/>
    <w:rsid w:val="05161D2D"/>
    <w:rsid w:val="0522500E"/>
    <w:rsid w:val="052E568F"/>
    <w:rsid w:val="0537511C"/>
    <w:rsid w:val="053973F0"/>
    <w:rsid w:val="053E65E7"/>
    <w:rsid w:val="05437A57"/>
    <w:rsid w:val="054E2A6F"/>
    <w:rsid w:val="0555228E"/>
    <w:rsid w:val="056501EA"/>
    <w:rsid w:val="056D1155"/>
    <w:rsid w:val="056F7FAB"/>
    <w:rsid w:val="057030A6"/>
    <w:rsid w:val="05741F0E"/>
    <w:rsid w:val="057D1D66"/>
    <w:rsid w:val="0584418A"/>
    <w:rsid w:val="058E7B70"/>
    <w:rsid w:val="059D265F"/>
    <w:rsid w:val="05B74214"/>
    <w:rsid w:val="05B92EC1"/>
    <w:rsid w:val="05C251E4"/>
    <w:rsid w:val="05C26893"/>
    <w:rsid w:val="05C868B7"/>
    <w:rsid w:val="05E078B3"/>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5D97"/>
    <w:rsid w:val="06637BD9"/>
    <w:rsid w:val="066935ED"/>
    <w:rsid w:val="066F06B5"/>
    <w:rsid w:val="06782F84"/>
    <w:rsid w:val="067C28D6"/>
    <w:rsid w:val="067E40B7"/>
    <w:rsid w:val="0681696E"/>
    <w:rsid w:val="06851866"/>
    <w:rsid w:val="068E06BC"/>
    <w:rsid w:val="06907E56"/>
    <w:rsid w:val="069201CB"/>
    <w:rsid w:val="06956E2E"/>
    <w:rsid w:val="06971860"/>
    <w:rsid w:val="069F445A"/>
    <w:rsid w:val="06B741D9"/>
    <w:rsid w:val="06C457B6"/>
    <w:rsid w:val="06CD4A70"/>
    <w:rsid w:val="06DF4C13"/>
    <w:rsid w:val="06E34232"/>
    <w:rsid w:val="06E7678C"/>
    <w:rsid w:val="06F13CA3"/>
    <w:rsid w:val="06F14C51"/>
    <w:rsid w:val="06F42A88"/>
    <w:rsid w:val="06F801C0"/>
    <w:rsid w:val="070E5EE2"/>
    <w:rsid w:val="07105178"/>
    <w:rsid w:val="0712124C"/>
    <w:rsid w:val="071426A5"/>
    <w:rsid w:val="071614A3"/>
    <w:rsid w:val="071A1AB9"/>
    <w:rsid w:val="071C13A8"/>
    <w:rsid w:val="07330445"/>
    <w:rsid w:val="073D143C"/>
    <w:rsid w:val="073E1A3D"/>
    <w:rsid w:val="0747308D"/>
    <w:rsid w:val="074855FD"/>
    <w:rsid w:val="07627CA0"/>
    <w:rsid w:val="076319C4"/>
    <w:rsid w:val="076925D2"/>
    <w:rsid w:val="077241E3"/>
    <w:rsid w:val="07731BAD"/>
    <w:rsid w:val="07787303"/>
    <w:rsid w:val="078C5933"/>
    <w:rsid w:val="078D336C"/>
    <w:rsid w:val="0792420A"/>
    <w:rsid w:val="07971B3F"/>
    <w:rsid w:val="07983294"/>
    <w:rsid w:val="079F1838"/>
    <w:rsid w:val="07A2030D"/>
    <w:rsid w:val="07A5677E"/>
    <w:rsid w:val="07AE63FF"/>
    <w:rsid w:val="07B51934"/>
    <w:rsid w:val="07B9290D"/>
    <w:rsid w:val="07BE52B9"/>
    <w:rsid w:val="07BF7CC6"/>
    <w:rsid w:val="07C55A1A"/>
    <w:rsid w:val="07CD6CAA"/>
    <w:rsid w:val="07D26643"/>
    <w:rsid w:val="07D57946"/>
    <w:rsid w:val="07E2277C"/>
    <w:rsid w:val="07E6675C"/>
    <w:rsid w:val="07ED524D"/>
    <w:rsid w:val="07EF3E3F"/>
    <w:rsid w:val="07FC1127"/>
    <w:rsid w:val="080124E3"/>
    <w:rsid w:val="080B341D"/>
    <w:rsid w:val="080C7FA0"/>
    <w:rsid w:val="08120068"/>
    <w:rsid w:val="08162951"/>
    <w:rsid w:val="08193C24"/>
    <w:rsid w:val="082E1CC1"/>
    <w:rsid w:val="08341060"/>
    <w:rsid w:val="083D71D5"/>
    <w:rsid w:val="085514F1"/>
    <w:rsid w:val="085A5F4A"/>
    <w:rsid w:val="08675174"/>
    <w:rsid w:val="08732D34"/>
    <w:rsid w:val="08787FF0"/>
    <w:rsid w:val="08824DF0"/>
    <w:rsid w:val="0889002B"/>
    <w:rsid w:val="089B79D9"/>
    <w:rsid w:val="08A44DA6"/>
    <w:rsid w:val="08AA245A"/>
    <w:rsid w:val="08BA6E24"/>
    <w:rsid w:val="08C024D5"/>
    <w:rsid w:val="08C562FD"/>
    <w:rsid w:val="08CA27B1"/>
    <w:rsid w:val="08D25907"/>
    <w:rsid w:val="08E916DF"/>
    <w:rsid w:val="08F3022B"/>
    <w:rsid w:val="08F473EA"/>
    <w:rsid w:val="08F815F3"/>
    <w:rsid w:val="08F96E54"/>
    <w:rsid w:val="08FC0AA5"/>
    <w:rsid w:val="090868CF"/>
    <w:rsid w:val="09167EC9"/>
    <w:rsid w:val="091C4700"/>
    <w:rsid w:val="09294EE0"/>
    <w:rsid w:val="09306537"/>
    <w:rsid w:val="09355076"/>
    <w:rsid w:val="09392119"/>
    <w:rsid w:val="093E6BA4"/>
    <w:rsid w:val="09445E95"/>
    <w:rsid w:val="09543B3B"/>
    <w:rsid w:val="09600FBD"/>
    <w:rsid w:val="0972595C"/>
    <w:rsid w:val="097734F1"/>
    <w:rsid w:val="097960C6"/>
    <w:rsid w:val="097D5DA0"/>
    <w:rsid w:val="098143BC"/>
    <w:rsid w:val="098500F1"/>
    <w:rsid w:val="099E4326"/>
    <w:rsid w:val="09B7610E"/>
    <w:rsid w:val="09BD407A"/>
    <w:rsid w:val="09CD7D07"/>
    <w:rsid w:val="09DA0E26"/>
    <w:rsid w:val="09E55691"/>
    <w:rsid w:val="09EA29E1"/>
    <w:rsid w:val="09EB2B51"/>
    <w:rsid w:val="09EF75D1"/>
    <w:rsid w:val="09F43460"/>
    <w:rsid w:val="09F67CD5"/>
    <w:rsid w:val="0A054821"/>
    <w:rsid w:val="0A0835C8"/>
    <w:rsid w:val="0A145721"/>
    <w:rsid w:val="0A2C297E"/>
    <w:rsid w:val="0A307C92"/>
    <w:rsid w:val="0A355EAA"/>
    <w:rsid w:val="0A3708FF"/>
    <w:rsid w:val="0A3B01F9"/>
    <w:rsid w:val="0A3F0488"/>
    <w:rsid w:val="0A402A36"/>
    <w:rsid w:val="0A4236A3"/>
    <w:rsid w:val="0A49096C"/>
    <w:rsid w:val="0A4E7EF5"/>
    <w:rsid w:val="0A646846"/>
    <w:rsid w:val="0A76304F"/>
    <w:rsid w:val="0A80214B"/>
    <w:rsid w:val="0A8251CA"/>
    <w:rsid w:val="0A8828AB"/>
    <w:rsid w:val="0A895661"/>
    <w:rsid w:val="0A927DC1"/>
    <w:rsid w:val="0A9358E8"/>
    <w:rsid w:val="0A952FEA"/>
    <w:rsid w:val="0A9B4F7F"/>
    <w:rsid w:val="0A9C263A"/>
    <w:rsid w:val="0A9E3D3D"/>
    <w:rsid w:val="0AA077E0"/>
    <w:rsid w:val="0AA16D79"/>
    <w:rsid w:val="0AA84209"/>
    <w:rsid w:val="0ABF3E2E"/>
    <w:rsid w:val="0AC01F88"/>
    <w:rsid w:val="0AC0212C"/>
    <w:rsid w:val="0AC55D37"/>
    <w:rsid w:val="0AC81C45"/>
    <w:rsid w:val="0AD542C1"/>
    <w:rsid w:val="0ADD5A20"/>
    <w:rsid w:val="0ADF65DA"/>
    <w:rsid w:val="0AE10FD9"/>
    <w:rsid w:val="0AF13898"/>
    <w:rsid w:val="0AFB1BDE"/>
    <w:rsid w:val="0AFB3228"/>
    <w:rsid w:val="0AFC6C07"/>
    <w:rsid w:val="0B0250FD"/>
    <w:rsid w:val="0B0F025C"/>
    <w:rsid w:val="0B1A6333"/>
    <w:rsid w:val="0B2713F4"/>
    <w:rsid w:val="0B2E7CE5"/>
    <w:rsid w:val="0B3D701F"/>
    <w:rsid w:val="0B3E7DD7"/>
    <w:rsid w:val="0B481192"/>
    <w:rsid w:val="0B494066"/>
    <w:rsid w:val="0B4D4BB3"/>
    <w:rsid w:val="0B4F7F8D"/>
    <w:rsid w:val="0B561995"/>
    <w:rsid w:val="0B5C2C2A"/>
    <w:rsid w:val="0B665E0A"/>
    <w:rsid w:val="0B796FFB"/>
    <w:rsid w:val="0B847B39"/>
    <w:rsid w:val="0B902D5E"/>
    <w:rsid w:val="0B987E20"/>
    <w:rsid w:val="0B9C06D5"/>
    <w:rsid w:val="0B9E71DF"/>
    <w:rsid w:val="0BAC6FB9"/>
    <w:rsid w:val="0BAD5CC5"/>
    <w:rsid w:val="0BAD5EDC"/>
    <w:rsid w:val="0BAF59B9"/>
    <w:rsid w:val="0BB524B8"/>
    <w:rsid w:val="0BB756DF"/>
    <w:rsid w:val="0BC63DB2"/>
    <w:rsid w:val="0BCB1EC4"/>
    <w:rsid w:val="0BCC4043"/>
    <w:rsid w:val="0BCC4B6A"/>
    <w:rsid w:val="0BD23AC3"/>
    <w:rsid w:val="0BDE3FD8"/>
    <w:rsid w:val="0C064507"/>
    <w:rsid w:val="0C1E494F"/>
    <w:rsid w:val="0C3427D0"/>
    <w:rsid w:val="0C43327D"/>
    <w:rsid w:val="0C4426AF"/>
    <w:rsid w:val="0C4577EC"/>
    <w:rsid w:val="0C4F7881"/>
    <w:rsid w:val="0C5C6396"/>
    <w:rsid w:val="0C63431B"/>
    <w:rsid w:val="0C650A20"/>
    <w:rsid w:val="0C690EFA"/>
    <w:rsid w:val="0C6E11B8"/>
    <w:rsid w:val="0C723CD1"/>
    <w:rsid w:val="0C7A1B03"/>
    <w:rsid w:val="0C7C40BF"/>
    <w:rsid w:val="0C8005ED"/>
    <w:rsid w:val="0C814739"/>
    <w:rsid w:val="0C8601BF"/>
    <w:rsid w:val="0C863429"/>
    <w:rsid w:val="0C8B63A3"/>
    <w:rsid w:val="0C9F6AEC"/>
    <w:rsid w:val="0CB94808"/>
    <w:rsid w:val="0CC11AEF"/>
    <w:rsid w:val="0CC37BC2"/>
    <w:rsid w:val="0CCB7A8E"/>
    <w:rsid w:val="0CD87ABE"/>
    <w:rsid w:val="0CD90733"/>
    <w:rsid w:val="0CE26C42"/>
    <w:rsid w:val="0CE632FF"/>
    <w:rsid w:val="0CE76B48"/>
    <w:rsid w:val="0CEB5DBE"/>
    <w:rsid w:val="0CF6484A"/>
    <w:rsid w:val="0CFB523A"/>
    <w:rsid w:val="0CFC15F0"/>
    <w:rsid w:val="0D0227BA"/>
    <w:rsid w:val="0D1B1E9C"/>
    <w:rsid w:val="0D2716E6"/>
    <w:rsid w:val="0D3226D5"/>
    <w:rsid w:val="0D4B44A1"/>
    <w:rsid w:val="0D6468BA"/>
    <w:rsid w:val="0D6811B4"/>
    <w:rsid w:val="0D6E2620"/>
    <w:rsid w:val="0D704E21"/>
    <w:rsid w:val="0D7A2BC8"/>
    <w:rsid w:val="0D7F48FE"/>
    <w:rsid w:val="0D883C88"/>
    <w:rsid w:val="0D936E72"/>
    <w:rsid w:val="0D966BF7"/>
    <w:rsid w:val="0D9B5860"/>
    <w:rsid w:val="0DAA3F6B"/>
    <w:rsid w:val="0DB84E5F"/>
    <w:rsid w:val="0DB94E10"/>
    <w:rsid w:val="0DCC3AE8"/>
    <w:rsid w:val="0DD87842"/>
    <w:rsid w:val="0DE35C55"/>
    <w:rsid w:val="0DE45DFB"/>
    <w:rsid w:val="0DF202E1"/>
    <w:rsid w:val="0DF53CE3"/>
    <w:rsid w:val="0E0961C5"/>
    <w:rsid w:val="0E147898"/>
    <w:rsid w:val="0E183199"/>
    <w:rsid w:val="0E2A7688"/>
    <w:rsid w:val="0E2F216B"/>
    <w:rsid w:val="0E3352C6"/>
    <w:rsid w:val="0E3A5EE2"/>
    <w:rsid w:val="0E542F3B"/>
    <w:rsid w:val="0E6271C6"/>
    <w:rsid w:val="0E6271DF"/>
    <w:rsid w:val="0E655A78"/>
    <w:rsid w:val="0E681731"/>
    <w:rsid w:val="0E6C5EC6"/>
    <w:rsid w:val="0E7071B5"/>
    <w:rsid w:val="0E81568A"/>
    <w:rsid w:val="0E924723"/>
    <w:rsid w:val="0E942250"/>
    <w:rsid w:val="0E963344"/>
    <w:rsid w:val="0E9E6E00"/>
    <w:rsid w:val="0EA40C1C"/>
    <w:rsid w:val="0EB72E4B"/>
    <w:rsid w:val="0EB91987"/>
    <w:rsid w:val="0ED07B90"/>
    <w:rsid w:val="0EDA2BCA"/>
    <w:rsid w:val="0EDC55F1"/>
    <w:rsid w:val="0EEC6F1D"/>
    <w:rsid w:val="0EF00D65"/>
    <w:rsid w:val="0EF33893"/>
    <w:rsid w:val="0EFB6721"/>
    <w:rsid w:val="0EFF5127"/>
    <w:rsid w:val="0F054463"/>
    <w:rsid w:val="0F103291"/>
    <w:rsid w:val="0F1D498B"/>
    <w:rsid w:val="0F337178"/>
    <w:rsid w:val="0F3B15FC"/>
    <w:rsid w:val="0F41022A"/>
    <w:rsid w:val="0F44420A"/>
    <w:rsid w:val="0F4B77A5"/>
    <w:rsid w:val="0F4F1A2F"/>
    <w:rsid w:val="0F56743B"/>
    <w:rsid w:val="0F5D0D44"/>
    <w:rsid w:val="0F60682C"/>
    <w:rsid w:val="0F6763D9"/>
    <w:rsid w:val="0F6A2766"/>
    <w:rsid w:val="0F715B2B"/>
    <w:rsid w:val="0F764270"/>
    <w:rsid w:val="0F773D64"/>
    <w:rsid w:val="0F7756E1"/>
    <w:rsid w:val="0F790C96"/>
    <w:rsid w:val="0F7F273F"/>
    <w:rsid w:val="0F8418ED"/>
    <w:rsid w:val="0F957B47"/>
    <w:rsid w:val="0F98796C"/>
    <w:rsid w:val="0F9F6FA4"/>
    <w:rsid w:val="0FA65D5C"/>
    <w:rsid w:val="0FA83295"/>
    <w:rsid w:val="0FAD33DA"/>
    <w:rsid w:val="0FBE2A42"/>
    <w:rsid w:val="0FBF1587"/>
    <w:rsid w:val="0FC11FA8"/>
    <w:rsid w:val="0FC17CCE"/>
    <w:rsid w:val="0FC424B9"/>
    <w:rsid w:val="0FD70565"/>
    <w:rsid w:val="0FDF162E"/>
    <w:rsid w:val="0FEA050A"/>
    <w:rsid w:val="0FEC680C"/>
    <w:rsid w:val="0FEE2832"/>
    <w:rsid w:val="0FF83B33"/>
    <w:rsid w:val="10007AD6"/>
    <w:rsid w:val="10016174"/>
    <w:rsid w:val="100D3E09"/>
    <w:rsid w:val="101B1E8A"/>
    <w:rsid w:val="101C4A03"/>
    <w:rsid w:val="101D0C86"/>
    <w:rsid w:val="10325332"/>
    <w:rsid w:val="10386626"/>
    <w:rsid w:val="103B2931"/>
    <w:rsid w:val="104A023B"/>
    <w:rsid w:val="10505F3B"/>
    <w:rsid w:val="105F56AF"/>
    <w:rsid w:val="106D2686"/>
    <w:rsid w:val="107538B9"/>
    <w:rsid w:val="107641C0"/>
    <w:rsid w:val="107A2416"/>
    <w:rsid w:val="107C3E2C"/>
    <w:rsid w:val="107D41AE"/>
    <w:rsid w:val="10887960"/>
    <w:rsid w:val="108C2479"/>
    <w:rsid w:val="109E4593"/>
    <w:rsid w:val="10AA1B06"/>
    <w:rsid w:val="10C715C5"/>
    <w:rsid w:val="10CC72E4"/>
    <w:rsid w:val="10D335EF"/>
    <w:rsid w:val="10DA6BCD"/>
    <w:rsid w:val="10E3138D"/>
    <w:rsid w:val="10E746EA"/>
    <w:rsid w:val="10E83FE0"/>
    <w:rsid w:val="10EC3168"/>
    <w:rsid w:val="10EC5C55"/>
    <w:rsid w:val="10F24E5D"/>
    <w:rsid w:val="10F52718"/>
    <w:rsid w:val="11173599"/>
    <w:rsid w:val="112E2D86"/>
    <w:rsid w:val="11301133"/>
    <w:rsid w:val="113457E2"/>
    <w:rsid w:val="11366DAC"/>
    <w:rsid w:val="11376E36"/>
    <w:rsid w:val="114028DC"/>
    <w:rsid w:val="116F1EB0"/>
    <w:rsid w:val="117B1D6A"/>
    <w:rsid w:val="117C2D9D"/>
    <w:rsid w:val="117F159E"/>
    <w:rsid w:val="11821DC9"/>
    <w:rsid w:val="118A7FFF"/>
    <w:rsid w:val="11921373"/>
    <w:rsid w:val="11945405"/>
    <w:rsid w:val="119D7849"/>
    <w:rsid w:val="11A615EE"/>
    <w:rsid w:val="11A658F4"/>
    <w:rsid w:val="11B90BA4"/>
    <w:rsid w:val="11B91A57"/>
    <w:rsid w:val="11C427F5"/>
    <w:rsid w:val="11C67B8F"/>
    <w:rsid w:val="11CA11D0"/>
    <w:rsid w:val="11CE730E"/>
    <w:rsid w:val="11D658B4"/>
    <w:rsid w:val="11D75BF2"/>
    <w:rsid w:val="11D815C4"/>
    <w:rsid w:val="11D910AD"/>
    <w:rsid w:val="11E55FA1"/>
    <w:rsid w:val="11E57D4F"/>
    <w:rsid w:val="11ED5EAE"/>
    <w:rsid w:val="11EE6703"/>
    <w:rsid w:val="11F62C9D"/>
    <w:rsid w:val="11F67383"/>
    <w:rsid w:val="11F92DAB"/>
    <w:rsid w:val="11FC38D5"/>
    <w:rsid w:val="11FE0013"/>
    <w:rsid w:val="1210682D"/>
    <w:rsid w:val="12162A85"/>
    <w:rsid w:val="121A40C0"/>
    <w:rsid w:val="121E2AC6"/>
    <w:rsid w:val="123332A6"/>
    <w:rsid w:val="12384D02"/>
    <w:rsid w:val="123A05DB"/>
    <w:rsid w:val="124240B9"/>
    <w:rsid w:val="124D0988"/>
    <w:rsid w:val="124D0CC1"/>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E5106"/>
    <w:rsid w:val="12EE67A1"/>
    <w:rsid w:val="13012EB4"/>
    <w:rsid w:val="1307341C"/>
    <w:rsid w:val="130C40FE"/>
    <w:rsid w:val="130E3629"/>
    <w:rsid w:val="131B39DD"/>
    <w:rsid w:val="131E2669"/>
    <w:rsid w:val="13216E71"/>
    <w:rsid w:val="13283BA4"/>
    <w:rsid w:val="13332F77"/>
    <w:rsid w:val="13334E1C"/>
    <w:rsid w:val="13346EE4"/>
    <w:rsid w:val="13384952"/>
    <w:rsid w:val="13424DBA"/>
    <w:rsid w:val="134F31A5"/>
    <w:rsid w:val="1355107F"/>
    <w:rsid w:val="135D4D2E"/>
    <w:rsid w:val="135F4CF0"/>
    <w:rsid w:val="1366638D"/>
    <w:rsid w:val="136D76E8"/>
    <w:rsid w:val="137266E0"/>
    <w:rsid w:val="137F164B"/>
    <w:rsid w:val="13853516"/>
    <w:rsid w:val="139D3156"/>
    <w:rsid w:val="13A9004F"/>
    <w:rsid w:val="13A938D2"/>
    <w:rsid w:val="13AA5FA1"/>
    <w:rsid w:val="13AF2BDE"/>
    <w:rsid w:val="13BB0DD4"/>
    <w:rsid w:val="13C20262"/>
    <w:rsid w:val="13CE7C74"/>
    <w:rsid w:val="13D024B3"/>
    <w:rsid w:val="13D115EF"/>
    <w:rsid w:val="13D40AF3"/>
    <w:rsid w:val="13D86A45"/>
    <w:rsid w:val="13D92D9C"/>
    <w:rsid w:val="13DD445E"/>
    <w:rsid w:val="13DE7C83"/>
    <w:rsid w:val="13F0242F"/>
    <w:rsid w:val="13F7751B"/>
    <w:rsid w:val="13FD073F"/>
    <w:rsid w:val="140171D9"/>
    <w:rsid w:val="1405674E"/>
    <w:rsid w:val="140815BB"/>
    <w:rsid w:val="14087FC1"/>
    <w:rsid w:val="14095006"/>
    <w:rsid w:val="141C71BE"/>
    <w:rsid w:val="141E583B"/>
    <w:rsid w:val="14200F48"/>
    <w:rsid w:val="1424615D"/>
    <w:rsid w:val="1426671F"/>
    <w:rsid w:val="142C143A"/>
    <w:rsid w:val="142E1345"/>
    <w:rsid w:val="14345A34"/>
    <w:rsid w:val="143533EF"/>
    <w:rsid w:val="14367BDC"/>
    <w:rsid w:val="143F5FC4"/>
    <w:rsid w:val="145103FA"/>
    <w:rsid w:val="145F07C7"/>
    <w:rsid w:val="146B69A8"/>
    <w:rsid w:val="146C5189"/>
    <w:rsid w:val="146F1089"/>
    <w:rsid w:val="14816B50"/>
    <w:rsid w:val="148313F4"/>
    <w:rsid w:val="14912D9C"/>
    <w:rsid w:val="14934F1A"/>
    <w:rsid w:val="149559C4"/>
    <w:rsid w:val="149E117F"/>
    <w:rsid w:val="14AB0B21"/>
    <w:rsid w:val="14AC0C32"/>
    <w:rsid w:val="14C45576"/>
    <w:rsid w:val="14C76D6C"/>
    <w:rsid w:val="14CB0971"/>
    <w:rsid w:val="14CB7E6E"/>
    <w:rsid w:val="14CE33C4"/>
    <w:rsid w:val="14DA3DA1"/>
    <w:rsid w:val="14E31554"/>
    <w:rsid w:val="14E60B42"/>
    <w:rsid w:val="14EA1C4D"/>
    <w:rsid w:val="150222BF"/>
    <w:rsid w:val="15075355"/>
    <w:rsid w:val="150F7C33"/>
    <w:rsid w:val="1515004B"/>
    <w:rsid w:val="151B7C99"/>
    <w:rsid w:val="15207BBA"/>
    <w:rsid w:val="152F4E1B"/>
    <w:rsid w:val="153817CF"/>
    <w:rsid w:val="15425F26"/>
    <w:rsid w:val="15436E45"/>
    <w:rsid w:val="154D342A"/>
    <w:rsid w:val="1559587F"/>
    <w:rsid w:val="155D577C"/>
    <w:rsid w:val="15655DA6"/>
    <w:rsid w:val="1574662E"/>
    <w:rsid w:val="15751882"/>
    <w:rsid w:val="1575191B"/>
    <w:rsid w:val="157818C6"/>
    <w:rsid w:val="158D195D"/>
    <w:rsid w:val="159F73BB"/>
    <w:rsid w:val="15B03F28"/>
    <w:rsid w:val="15BD66BF"/>
    <w:rsid w:val="15BE2FC0"/>
    <w:rsid w:val="15C526A4"/>
    <w:rsid w:val="15C95B15"/>
    <w:rsid w:val="15DC75CF"/>
    <w:rsid w:val="15E30A80"/>
    <w:rsid w:val="15E310C1"/>
    <w:rsid w:val="15E5344B"/>
    <w:rsid w:val="15FB16C4"/>
    <w:rsid w:val="1608480E"/>
    <w:rsid w:val="161C1C58"/>
    <w:rsid w:val="1622315D"/>
    <w:rsid w:val="1626155A"/>
    <w:rsid w:val="16282C4E"/>
    <w:rsid w:val="1629434E"/>
    <w:rsid w:val="162E1BBF"/>
    <w:rsid w:val="162F7556"/>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24A30"/>
    <w:rsid w:val="16F55F75"/>
    <w:rsid w:val="16FD2447"/>
    <w:rsid w:val="17081A43"/>
    <w:rsid w:val="170B631B"/>
    <w:rsid w:val="1712339A"/>
    <w:rsid w:val="171B1C8E"/>
    <w:rsid w:val="171E63FC"/>
    <w:rsid w:val="172244D9"/>
    <w:rsid w:val="1722504D"/>
    <w:rsid w:val="172C2525"/>
    <w:rsid w:val="173302A7"/>
    <w:rsid w:val="1738730F"/>
    <w:rsid w:val="17407E9C"/>
    <w:rsid w:val="17416499"/>
    <w:rsid w:val="17481B81"/>
    <w:rsid w:val="17481E8B"/>
    <w:rsid w:val="174A69B0"/>
    <w:rsid w:val="1750027D"/>
    <w:rsid w:val="175007ED"/>
    <w:rsid w:val="17527092"/>
    <w:rsid w:val="17667C8E"/>
    <w:rsid w:val="176B45C6"/>
    <w:rsid w:val="176C447F"/>
    <w:rsid w:val="17830A97"/>
    <w:rsid w:val="17850F99"/>
    <w:rsid w:val="17875303"/>
    <w:rsid w:val="178815C4"/>
    <w:rsid w:val="1793626E"/>
    <w:rsid w:val="17991452"/>
    <w:rsid w:val="17A875F5"/>
    <w:rsid w:val="17AB40A1"/>
    <w:rsid w:val="17AC60A9"/>
    <w:rsid w:val="17B5256D"/>
    <w:rsid w:val="17B92501"/>
    <w:rsid w:val="17CD2623"/>
    <w:rsid w:val="17D651ED"/>
    <w:rsid w:val="17E65848"/>
    <w:rsid w:val="17E66DD8"/>
    <w:rsid w:val="17E84839"/>
    <w:rsid w:val="17EE1403"/>
    <w:rsid w:val="17F25234"/>
    <w:rsid w:val="17FD061B"/>
    <w:rsid w:val="17FF6314"/>
    <w:rsid w:val="1800350F"/>
    <w:rsid w:val="18005F41"/>
    <w:rsid w:val="18025414"/>
    <w:rsid w:val="180E3727"/>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AB3604"/>
    <w:rsid w:val="18B15BA9"/>
    <w:rsid w:val="18B50543"/>
    <w:rsid w:val="18C515FC"/>
    <w:rsid w:val="18CA40C3"/>
    <w:rsid w:val="18CC73BC"/>
    <w:rsid w:val="18CD7A02"/>
    <w:rsid w:val="18E21EFF"/>
    <w:rsid w:val="18F32AFF"/>
    <w:rsid w:val="18F37652"/>
    <w:rsid w:val="19001FFC"/>
    <w:rsid w:val="190E2B4A"/>
    <w:rsid w:val="19151C58"/>
    <w:rsid w:val="1917174A"/>
    <w:rsid w:val="19256D7A"/>
    <w:rsid w:val="19292CD4"/>
    <w:rsid w:val="192C403E"/>
    <w:rsid w:val="193275C2"/>
    <w:rsid w:val="19454C70"/>
    <w:rsid w:val="194D2005"/>
    <w:rsid w:val="194D3980"/>
    <w:rsid w:val="195B59A7"/>
    <w:rsid w:val="196229FF"/>
    <w:rsid w:val="19655A52"/>
    <w:rsid w:val="19663168"/>
    <w:rsid w:val="196D1144"/>
    <w:rsid w:val="197724BD"/>
    <w:rsid w:val="19786B0A"/>
    <w:rsid w:val="198A41A1"/>
    <w:rsid w:val="199A2059"/>
    <w:rsid w:val="199B4699"/>
    <w:rsid w:val="19A40543"/>
    <w:rsid w:val="19A91329"/>
    <w:rsid w:val="19B46E10"/>
    <w:rsid w:val="19C456C1"/>
    <w:rsid w:val="19C47D20"/>
    <w:rsid w:val="19C96BAE"/>
    <w:rsid w:val="19DB6A7E"/>
    <w:rsid w:val="19DF018D"/>
    <w:rsid w:val="19E65498"/>
    <w:rsid w:val="19F061A1"/>
    <w:rsid w:val="19F3324D"/>
    <w:rsid w:val="1A054259"/>
    <w:rsid w:val="1A081816"/>
    <w:rsid w:val="1A0C5680"/>
    <w:rsid w:val="1A153EDB"/>
    <w:rsid w:val="1A165171"/>
    <w:rsid w:val="1A2F1830"/>
    <w:rsid w:val="1A454F4F"/>
    <w:rsid w:val="1A4858FF"/>
    <w:rsid w:val="1A4C698A"/>
    <w:rsid w:val="1A586874"/>
    <w:rsid w:val="1A5D5219"/>
    <w:rsid w:val="1A5E4B5A"/>
    <w:rsid w:val="1A605995"/>
    <w:rsid w:val="1A672B1C"/>
    <w:rsid w:val="1A735226"/>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449BB"/>
    <w:rsid w:val="1AE8570C"/>
    <w:rsid w:val="1AF14946"/>
    <w:rsid w:val="1AFB06A3"/>
    <w:rsid w:val="1B0F19AE"/>
    <w:rsid w:val="1B2160BB"/>
    <w:rsid w:val="1B3137EE"/>
    <w:rsid w:val="1B3637AD"/>
    <w:rsid w:val="1B3E0DB5"/>
    <w:rsid w:val="1B435D31"/>
    <w:rsid w:val="1B454C94"/>
    <w:rsid w:val="1B496377"/>
    <w:rsid w:val="1B506283"/>
    <w:rsid w:val="1B6515DA"/>
    <w:rsid w:val="1B6C0DF0"/>
    <w:rsid w:val="1B7034E2"/>
    <w:rsid w:val="1B797F1F"/>
    <w:rsid w:val="1B7F6005"/>
    <w:rsid w:val="1B862C77"/>
    <w:rsid w:val="1B94236B"/>
    <w:rsid w:val="1B9A1502"/>
    <w:rsid w:val="1B9A4A8D"/>
    <w:rsid w:val="1B9C269A"/>
    <w:rsid w:val="1B9E64C5"/>
    <w:rsid w:val="1B9E6D4C"/>
    <w:rsid w:val="1BA252C1"/>
    <w:rsid w:val="1BAF07EF"/>
    <w:rsid w:val="1BBD43BA"/>
    <w:rsid w:val="1BC01115"/>
    <w:rsid w:val="1BC44015"/>
    <w:rsid w:val="1BCA6284"/>
    <w:rsid w:val="1BE475CF"/>
    <w:rsid w:val="1BE94688"/>
    <w:rsid w:val="1BEA3348"/>
    <w:rsid w:val="1BFE5FF9"/>
    <w:rsid w:val="1C013494"/>
    <w:rsid w:val="1C053414"/>
    <w:rsid w:val="1C132CB9"/>
    <w:rsid w:val="1C1642A1"/>
    <w:rsid w:val="1C207A38"/>
    <w:rsid w:val="1C273D33"/>
    <w:rsid w:val="1C274D98"/>
    <w:rsid w:val="1C395CFF"/>
    <w:rsid w:val="1C4032AB"/>
    <w:rsid w:val="1C4672ED"/>
    <w:rsid w:val="1C467AB6"/>
    <w:rsid w:val="1C6277A9"/>
    <w:rsid w:val="1C687AA0"/>
    <w:rsid w:val="1C7B213D"/>
    <w:rsid w:val="1C7F54CE"/>
    <w:rsid w:val="1C7F743F"/>
    <w:rsid w:val="1C8C4AA9"/>
    <w:rsid w:val="1C8C604B"/>
    <w:rsid w:val="1C92160B"/>
    <w:rsid w:val="1C973EEF"/>
    <w:rsid w:val="1C9E044B"/>
    <w:rsid w:val="1CA03243"/>
    <w:rsid w:val="1CAF5DB2"/>
    <w:rsid w:val="1CB00002"/>
    <w:rsid w:val="1CB40DF1"/>
    <w:rsid w:val="1CC73770"/>
    <w:rsid w:val="1CCC26CA"/>
    <w:rsid w:val="1CCF6CAF"/>
    <w:rsid w:val="1CD2156B"/>
    <w:rsid w:val="1CD41743"/>
    <w:rsid w:val="1CD44D3D"/>
    <w:rsid w:val="1CD51DA1"/>
    <w:rsid w:val="1CE45EF5"/>
    <w:rsid w:val="1CE615C9"/>
    <w:rsid w:val="1D037029"/>
    <w:rsid w:val="1D051DAC"/>
    <w:rsid w:val="1D1316E8"/>
    <w:rsid w:val="1D1D7103"/>
    <w:rsid w:val="1D2B0BB4"/>
    <w:rsid w:val="1D3305FF"/>
    <w:rsid w:val="1D335FC4"/>
    <w:rsid w:val="1D395282"/>
    <w:rsid w:val="1D4251BA"/>
    <w:rsid w:val="1D551881"/>
    <w:rsid w:val="1D5959E7"/>
    <w:rsid w:val="1D5F5386"/>
    <w:rsid w:val="1D7072CE"/>
    <w:rsid w:val="1D794A16"/>
    <w:rsid w:val="1D795467"/>
    <w:rsid w:val="1D966154"/>
    <w:rsid w:val="1D9E30A9"/>
    <w:rsid w:val="1DA142D7"/>
    <w:rsid w:val="1DA33B45"/>
    <w:rsid w:val="1DA54EF3"/>
    <w:rsid w:val="1DAB1006"/>
    <w:rsid w:val="1DB33C11"/>
    <w:rsid w:val="1DB34347"/>
    <w:rsid w:val="1DC12FD6"/>
    <w:rsid w:val="1DC65562"/>
    <w:rsid w:val="1DCE33C5"/>
    <w:rsid w:val="1DD13720"/>
    <w:rsid w:val="1DD40512"/>
    <w:rsid w:val="1DD555D5"/>
    <w:rsid w:val="1DE94164"/>
    <w:rsid w:val="1DEE1B11"/>
    <w:rsid w:val="1E0112F9"/>
    <w:rsid w:val="1E0B0833"/>
    <w:rsid w:val="1E146425"/>
    <w:rsid w:val="1E164B52"/>
    <w:rsid w:val="1E234B9F"/>
    <w:rsid w:val="1E273844"/>
    <w:rsid w:val="1E2F243E"/>
    <w:rsid w:val="1E377E23"/>
    <w:rsid w:val="1E3B4F6B"/>
    <w:rsid w:val="1E417896"/>
    <w:rsid w:val="1E455D19"/>
    <w:rsid w:val="1E595CAF"/>
    <w:rsid w:val="1E5B733A"/>
    <w:rsid w:val="1E5C31E8"/>
    <w:rsid w:val="1E64416A"/>
    <w:rsid w:val="1E6607F9"/>
    <w:rsid w:val="1E691070"/>
    <w:rsid w:val="1E7E6BFD"/>
    <w:rsid w:val="1E805396"/>
    <w:rsid w:val="1E884F62"/>
    <w:rsid w:val="1E9D6342"/>
    <w:rsid w:val="1E9D6D15"/>
    <w:rsid w:val="1EA77730"/>
    <w:rsid w:val="1EAF5D76"/>
    <w:rsid w:val="1EBD1EAD"/>
    <w:rsid w:val="1EC214C3"/>
    <w:rsid w:val="1EC36E9D"/>
    <w:rsid w:val="1ECA4D4D"/>
    <w:rsid w:val="1ECD6B66"/>
    <w:rsid w:val="1ED701E3"/>
    <w:rsid w:val="1EE25FDD"/>
    <w:rsid w:val="1EF5103F"/>
    <w:rsid w:val="1EFF621F"/>
    <w:rsid w:val="1F090F9B"/>
    <w:rsid w:val="1F0E2B48"/>
    <w:rsid w:val="1F0E5D6B"/>
    <w:rsid w:val="1F1921D7"/>
    <w:rsid w:val="1F335242"/>
    <w:rsid w:val="1F3E605E"/>
    <w:rsid w:val="1F3E662A"/>
    <w:rsid w:val="1F417C0A"/>
    <w:rsid w:val="1F482412"/>
    <w:rsid w:val="1F4F2219"/>
    <w:rsid w:val="1F5D2184"/>
    <w:rsid w:val="1F614D01"/>
    <w:rsid w:val="1F721405"/>
    <w:rsid w:val="1F8A2738"/>
    <w:rsid w:val="1F935819"/>
    <w:rsid w:val="1F9F1A13"/>
    <w:rsid w:val="1FA076DC"/>
    <w:rsid w:val="1FA6556D"/>
    <w:rsid w:val="1FAF2571"/>
    <w:rsid w:val="1FB7507F"/>
    <w:rsid w:val="1FC47ECF"/>
    <w:rsid w:val="1FC55EDA"/>
    <w:rsid w:val="1FC66FF1"/>
    <w:rsid w:val="1FCE593C"/>
    <w:rsid w:val="1FD175A8"/>
    <w:rsid w:val="1FD81D98"/>
    <w:rsid w:val="1FE312AC"/>
    <w:rsid w:val="1FE34925"/>
    <w:rsid w:val="1FEC5915"/>
    <w:rsid w:val="1FED32EF"/>
    <w:rsid w:val="201743BA"/>
    <w:rsid w:val="201E47E7"/>
    <w:rsid w:val="201E6D7C"/>
    <w:rsid w:val="20280BF3"/>
    <w:rsid w:val="202E2AB2"/>
    <w:rsid w:val="20355E85"/>
    <w:rsid w:val="20392DEC"/>
    <w:rsid w:val="203D340C"/>
    <w:rsid w:val="203D7ACF"/>
    <w:rsid w:val="203F0A07"/>
    <w:rsid w:val="20446081"/>
    <w:rsid w:val="204852AD"/>
    <w:rsid w:val="204E6676"/>
    <w:rsid w:val="205A5AA0"/>
    <w:rsid w:val="20677607"/>
    <w:rsid w:val="20685BC4"/>
    <w:rsid w:val="20773A28"/>
    <w:rsid w:val="20776154"/>
    <w:rsid w:val="208574F4"/>
    <w:rsid w:val="208C4449"/>
    <w:rsid w:val="208F6BAF"/>
    <w:rsid w:val="20966D8D"/>
    <w:rsid w:val="20A462BA"/>
    <w:rsid w:val="20BF2AAC"/>
    <w:rsid w:val="20C245BE"/>
    <w:rsid w:val="20C6317E"/>
    <w:rsid w:val="20C849C7"/>
    <w:rsid w:val="20C96A07"/>
    <w:rsid w:val="20D51E1A"/>
    <w:rsid w:val="20DB75CF"/>
    <w:rsid w:val="20DF66D2"/>
    <w:rsid w:val="20EC3F2E"/>
    <w:rsid w:val="20EC7C3E"/>
    <w:rsid w:val="20F16108"/>
    <w:rsid w:val="210548E9"/>
    <w:rsid w:val="21124D15"/>
    <w:rsid w:val="212A5BF7"/>
    <w:rsid w:val="213533EC"/>
    <w:rsid w:val="213E7119"/>
    <w:rsid w:val="214369E8"/>
    <w:rsid w:val="214D1729"/>
    <w:rsid w:val="21530058"/>
    <w:rsid w:val="216A2141"/>
    <w:rsid w:val="21774C7C"/>
    <w:rsid w:val="21810744"/>
    <w:rsid w:val="218D6EF5"/>
    <w:rsid w:val="2195668B"/>
    <w:rsid w:val="219E3719"/>
    <w:rsid w:val="219F5DD6"/>
    <w:rsid w:val="219F69EC"/>
    <w:rsid w:val="21A130EA"/>
    <w:rsid w:val="21BF60EB"/>
    <w:rsid w:val="21C11E60"/>
    <w:rsid w:val="21C267BF"/>
    <w:rsid w:val="21CC442B"/>
    <w:rsid w:val="21CD6BCD"/>
    <w:rsid w:val="21CE6067"/>
    <w:rsid w:val="21CF035F"/>
    <w:rsid w:val="21CF439A"/>
    <w:rsid w:val="21EF1B3D"/>
    <w:rsid w:val="21F00127"/>
    <w:rsid w:val="21F839AC"/>
    <w:rsid w:val="221D2FA3"/>
    <w:rsid w:val="2226635F"/>
    <w:rsid w:val="222D4F0B"/>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F2EE1"/>
    <w:rsid w:val="22C74EE2"/>
    <w:rsid w:val="22CB6237"/>
    <w:rsid w:val="22CD14B5"/>
    <w:rsid w:val="22CE62A8"/>
    <w:rsid w:val="22D9694E"/>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D3C72"/>
    <w:rsid w:val="236F277C"/>
    <w:rsid w:val="237216BA"/>
    <w:rsid w:val="23816932"/>
    <w:rsid w:val="23886A2D"/>
    <w:rsid w:val="238E2016"/>
    <w:rsid w:val="238F70F2"/>
    <w:rsid w:val="239C062C"/>
    <w:rsid w:val="23A9484E"/>
    <w:rsid w:val="23B32F98"/>
    <w:rsid w:val="23B36F54"/>
    <w:rsid w:val="23B84268"/>
    <w:rsid w:val="23C5553B"/>
    <w:rsid w:val="23D17D7B"/>
    <w:rsid w:val="23D36D91"/>
    <w:rsid w:val="23E344C7"/>
    <w:rsid w:val="23F70BA5"/>
    <w:rsid w:val="23F93D0D"/>
    <w:rsid w:val="240366A5"/>
    <w:rsid w:val="2405417E"/>
    <w:rsid w:val="240F5116"/>
    <w:rsid w:val="241B5C62"/>
    <w:rsid w:val="241C5F7B"/>
    <w:rsid w:val="24280875"/>
    <w:rsid w:val="24377DB7"/>
    <w:rsid w:val="243B745E"/>
    <w:rsid w:val="24427A08"/>
    <w:rsid w:val="24454B90"/>
    <w:rsid w:val="24572B1C"/>
    <w:rsid w:val="2458381E"/>
    <w:rsid w:val="245872F9"/>
    <w:rsid w:val="245943D9"/>
    <w:rsid w:val="245E6B64"/>
    <w:rsid w:val="2463385E"/>
    <w:rsid w:val="247C27F7"/>
    <w:rsid w:val="248B0DC8"/>
    <w:rsid w:val="24967323"/>
    <w:rsid w:val="249817D6"/>
    <w:rsid w:val="249D5FC8"/>
    <w:rsid w:val="24A1538E"/>
    <w:rsid w:val="24A83667"/>
    <w:rsid w:val="24AD67F4"/>
    <w:rsid w:val="24B9450F"/>
    <w:rsid w:val="24C83F94"/>
    <w:rsid w:val="24DE3A8A"/>
    <w:rsid w:val="24E7219B"/>
    <w:rsid w:val="24F60CDA"/>
    <w:rsid w:val="24FC5D1A"/>
    <w:rsid w:val="24FE42EB"/>
    <w:rsid w:val="24FE7E17"/>
    <w:rsid w:val="25040446"/>
    <w:rsid w:val="250D450C"/>
    <w:rsid w:val="25134332"/>
    <w:rsid w:val="25141A5B"/>
    <w:rsid w:val="2521546A"/>
    <w:rsid w:val="252242ED"/>
    <w:rsid w:val="2524677D"/>
    <w:rsid w:val="252920ED"/>
    <w:rsid w:val="252A2BA6"/>
    <w:rsid w:val="252B49E0"/>
    <w:rsid w:val="253F6469"/>
    <w:rsid w:val="25487456"/>
    <w:rsid w:val="254940F1"/>
    <w:rsid w:val="254A35DD"/>
    <w:rsid w:val="254C7F67"/>
    <w:rsid w:val="255414CA"/>
    <w:rsid w:val="25657E8F"/>
    <w:rsid w:val="25734B61"/>
    <w:rsid w:val="25745F06"/>
    <w:rsid w:val="258F6BC4"/>
    <w:rsid w:val="25975923"/>
    <w:rsid w:val="259A3D0A"/>
    <w:rsid w:val="25A76B90"/>
    <w:rsid w:val="25A95F3E"/>
    <w:rsid w:val="25AE7E68"/>
    <w:rsid w:val="25B4699E"/>
    <w:rsid w:val="25B7161F"/>
    <w:rsid w:val="25B75A0F"/>
    <w:rsid w:val="25BF43FD"/>
    <w:rsid w:val="25BF6041"/>
    <w:rsid w:val="25C35718"/>
    <w:rsid w:val="25C478B3"/>
    <w:rsid w:val="25CF0252"/>
    <w:rsid w:val="25D0248E"/>
    <w:rsid w:val="25D61C5C"/>
    <w:rsid w:val="25EE28A7"/>
    <w:rsid w:val="25F81D70"/>
    <w:rsid w:val="25FB5636"/>
    <w:rsid w:val="25FE58A9"/>
    <w:rsid w:val="26047AC4"/>
    <w:rsid w:val="26070462"/>
    <w:rsid w:val="260D2C45"/>
    <w:rsid w:val="2628719C"/>
    <w:rsid w:val="26395C92"/>
    <w:rsid w:val="263F660E"/>
    <w:rsid w:val="26465DA0"/>
    <w:rsid w:val="26497858"/>
    <w:rsid w:val="264C485B"/>
    <w:rsid w:val="265A5249"/>
    <w:rsid w:val="266237C3"/>
    <w:rsid w:val="266749F2"/>
    <w:rsid w:val="267550B9"/>
    <w:rsid w:val="269C0A66"/>
    <w:rsid w:val="26B06894"/>
    <w:rsid w:val="26B431AD"/>
    <w:rsid w:val="26B654CA"/>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E7380"/>
    <w:rsid w:val="27604751"/>
    <w:rsid w:val="27624780"/>
    <w:rsid w:val="276D7707"/>
    <w:rsid w:val="277419CB"/>
    <w:rsid w:val="2778582E"/>
    <w:rsid w:val="277F0B43"/>
    <w:rsid w:val="27806765"/>
    <w:rsid w:val="27832596"/>
    <w:rsid w:val="278C1620"/>
    <w:rsid w:val="279B1E53"/>
    <w:rsid w:val="27AA3521"/>
    <w:rsid w:val="27AB0725"/>
    <w:rsid w:val="27AB7429"/>
    <w:rsid w:val="27C57B2B"/>
    <w:rsid w:val="27C8029E"/>
    <w:rsid w:val="27CC78AC"/>
    <w:rsid w:val="27D72FE7"/>
    <w:rsid w:val="27D86029"/>
    <w:rsid w:val="27DC10DD"/>
    <w:rsid w:val="27DD45ED"/>
    <w:rsid w:val="27E069FC"/>
    <w:rsid w:val="27E3651B"/>
    <w:rsid w:val="27E864CC"/>
    <w:rsid w:val="27EC25E3"/>
    <w:rsid w:val="27ED0939"/>
    <w:rsid w:val="27F1498B"/>
    <w:rsid w:val="27FF3E3E"/>
    <w:rsid w:val="28027A71"/>
    <w:rsid w:val="281500D5"/>
    <w:rsid w:val="281F2BD3"/>
    <w:rsid w:val="281F4F67"/>
    <w:rsid w:val="28315056"/>
    <w:rsid w:val="283744B4"/>
    <w:rsid w:val="284029D8"/>
    <w:rsid w:val="28423E20"/>
    <w:rsid w:val="2843297C"/>
    <w:rsid w:val="28485D62"/>
    <w:rsid w:val="284B1E95"/>
    <w:rsid w:val="285560D7"/>
    <w:rsid w:val="285B737A"/>
    <w:rsid w:val="28683649"/>
    <w:rsid w:val="28696098"/>
    <w:rsid w:val="286E74F1"/>
    <w:rsid w:val="28760CA0"/>
    <w:rsid w:val="28796ED0"/>
    <w:rsid w:val="287B218C"/>
    <w:rsid w:val="288A05DD"/>
    <w:rsid w:val="28937D89"/>
    <w:rsid w:val="289B0550"/>
    <w:rsid w:val="28BE71CB"/>
    <w:rsid w:val="28C96C14"/>
    <w:rsid w:val="28CA7CD7"/>
    <w:rsid w:val="28CD627E"/>
    <w:rsid w:val="28D04F68"/>
    <w:rsid w:val="28E138E3"/>
    <w:rsid w:val="28E74216"/>
    <w:rsid w:val="28E87EE4"/>
    <w:rsid w:val="2903396A"/>
    <w:rsid w:val="29087976"/>
    <w:rsid w:val="290B654D"/>
    <w:rsid w:val="29124309"/>
    <w:rsid w:val="2921752E"/>
    <w:rsid w:val="294E766A"/>
    <w:rsid w:val="29513848"/>
    <w:rsid w:val="296B203C"/>
    <w:rsid w:val="297161D3"/>
    <w:rsid w:val="297510B4"/>
    <w:rsid w:val="2978319A"/>
    <w:rsid w:val="29886D49"/>
    <w:rsid w:val="29897A2F"/>
    <w:rsid w:val="29A02DFF"/>
    <w:rsid w:val="29A3014B"/>
    <w:rsid w:val="29A74CBD"/>
    <w:rsid w:val="29A80BF5"/>
    <w:rsid w:val="29B01C34"/>
    <w:rsid w:val="29B16357"/>
    <w:rsid w:val="29B277F5"/>
    <w:rsid w:val="29B35300"/>
    <w:rsid w:val="29BA0D88"/>
    <w:rsid w:val="29BA6381"/>
    <w:rsid w:val="29BB3E72"/>
    <w:rsid w:val="29C727C4"/>
    <w:rsid w:val="29CD6B73"/>
    <w:rsid w:val="29CF32B2"/>
    <w:rsid w:val="29DE15A2"/>
    <w:rsid w:val="29EC475A"/>
    <w:rsid w:val="29EF3680"/>
    <w:rsid w:val="29EF424E"/>
    <w:rsid w:val="29F45503"/>
    <w:rsid w:val="29FA7F26"/>
    <w:rsid w:val="2A074402"/>
    <w:rsid w:val="2A0A1918"/>
    <w:rsid w:val="2A144016"/>
    <w:rsid w:val="2A166823"/>
    <w:rsid w:val="2A191A5A"/>
    <w:rsid w:val="2A2E6F54"/>
    <w:rsid w:val="2A35650F"/>
    <w:rsid w:val="2A405845"/>
    <w:rsid w:val="2A45641B"/>
    <w:rsid w:val="2A496A6F"/>
    <w:rsid w:val="2A4C39E2"/>
    <w:rsid w:val="2A4D593F"/>
    <w:rsid w:val="2A58319D"/>
    <w:rsid w:val="2A5C6B8D"/>
    <w:rsid w:val="2A6A6FA4"/>
    <w:rsid w:val="2A6E31F8"/>
    <w:rsid w:val="2A704730"/>
    <w:rsid w:val="2A836D08"/>
    <w:rsid w:val="2A87174E"/>
    <w:rsid w:val="2A8A2F9C"/>
    <w:rsid w:val="2AAC5A06"/>
    <w:rsid w:val="2ABB3D6F"/>
    <w:rsid w:val="2AC25434"/>
    <w:rsid w:val="2AC70B30"/>
    <w:rsid w:val="2ACC2AAF"/>
    <w:rsid w:val="2AD56653"/>
    <w:rsid w:val="2AD74744"/>
    <w:rsid w:val="2AD91AC2"/>
    <w:rsid w:val="2AE17EE7"/>
    <w:rsid w:val="2AE57C95"/>
    <w:rsid w:val="2AF35C8B"/>
    <w:rsid w:val="2AFA03A2"/>
    <w:rsid w:val="2B0B578B"/>
    <w:rsid w:val="2B0C0EEE"/>
    <w:rsid w:val="2B132265"/>
    <w:rsid w:val="2B214776"/>
    <w:rsid w:val="2B2843BE"/>
    <w:rsid w:val="2B306227"/>
    <w:rsid w:val="2B313FC1"/>
    <w:rsid w:val="2B347C14"/>
    <w:rsid w:val="2B39348E"/>
    <w:rsid w:val="2B437285"/>
    <w:rsid w:val="2B494377"/>
    <w:rsid w:val="2B4B30FC"/>
    <w:rsid w:val="2B4D5018"/>
    <w:rsid w:val="2B4D695C"/>
    <w:rsid w:val="2B514803"/>
    <w:rsid w:val="2B5E14FB"/>
    <w:rsid w:val="2B637D4B"/>
    <w:rsid w:val="2B674B1E"/>
    <w:rsid w:val="2B6B1684"/>
    <w:rsid w:val="2B7B70BF"/>
    <w:rsid w:val="2B7E23C3"/>
    <w:rsid w:val="2B853AF3"/>
    <w:rsid w:val="2B8B422C"/>
    <w:rsid w:val="2BA07D38"/>
    <w:rsid w:val="2BC40957"/>
    <w:rsid w:val="2BCB5DAA"/>
    <w:rsid w:val="2BD32CF3"/>
    <w:rsid w:val="2BD65380"/>
    <w:rsid w:val="2BE65E96"/>
    <w:rsid w:val="2BE725D0"/>
    <w:rsid w:val="2BE838DD"/>
    <w:rsid w:val="2BF369B9"/>
    <w:rsid w:val="2BFC0A4A"/>
    <w:rsid w:val="2C094904"/>
    <w:rsid w:val="2C0E55A1"/>
    <w:rsid w:val="2C1C1B17"/>
    <w:rsid w:val="2C210873"/>
    <w:rsid w:val="2C3A7BF6"/>
    <w:rsid w:val="2C425BCE"/>
    <w:rsid w:val="2C44676A"/>
    <w:rsid w:val="2C485295"/>
    <w:rsid w:val="2C495C38"/>
    <w:rsid w:val="2C4A080C"/>
    <w:rsid w:val="2C54533B"/>
    <w:rsid w:val="2C591378"/>
    <w:rsid w:val="2C677A31"/>
    <w:rsid w:val="2C770676"/>
    <w:rsid w:val="2C797A76"/>
    <w:rsid w:val="2C8F4862"/>
    <w:rsid w:val="2C9E5AC8"/>
    <w:rsid w:val="2CA2721B"/>
    <w:rsid w:val="2CAC6D87"/>
    <w:rsid w:val="2CB600FC"/>
    <w:rsid w:val="2CE079AD"/>
    <w:rsid w:val="2CE8526F"/>
    <w:rsid w:val="2CEC353A"/>
    <w:rsid w:val="2CED2CED"/>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A23D5C"/>
    <w:rsid w:val="2DB872E3"/>
    <w:rsid w:val="2DC66A91"/>
    <w:rsid w:val="2DC92AA1"/>
    <w:rsid w:val="2DCE5F69"/>
    <w:rsid w:val="2DDD4F0A"/>
    <w:rsid w:val="2E063012"/>
    <w:rsid w:val="2E1F0CF7"/>
    <w:rsid w:val="2E3118D8"/>
    <w:rsid w:val="2E34792A"/>
    <w:rsid w:val="2E437E73"/>
    <w:rsid w:val="2E5034DC"/>
    <w:rsid w:val="2E572AB9"/>
    <w:rsid w:val="2E7057C3"/>
    <w:rsid w:val="2E7258DC"/>
    <w:rsid w:val="2E79458E"/>
    <w:rsid w:val="2E797A78"/>
    <w:rsid w:val="2E7C6A94"/>
    <w:rsid w:val="2E8321A5"/>
    <w:rsid w:val="2E8945B3"/>
    <w:rsid w:val="2E8D14A8"/>
    <w:rsid w:val="2E9B7377"/>
    <w:rsid w:val="2E9F6D95"/>
    <w:rsid w:val="2EAA33F6"/>
    <w:rsid w:val="2EAE350B"/>
    <w:rsid w:val="2EB16AB5"/>
    <w:rsid w:val="2EB20A6C"/>
    <w:rsid w:val="2EBC2287"/>
    <w:rsid w:val="2EBF350E"/>
    <w:rsid w:val="2EC255A6"/>
    <w:rsid w:val="2ECA3116"/>
    <w:rsid w:val="2ECC549E"/>
    <w:rsid w:val="2ED53442"/>
    <w:rsid w:val="2EDD7896"/>
    <w:rsid w:val="2EEA6E65"/>
    <w:rsid w:val="2EF31F38"/>
    <w:rsid w:val="2EF33C7C"/>
    <w:rsid w:val="2EF66AA8"/>
    <w:rsid w:val="2F00052B"/>
    <w:rsid w:val="2F0367CD"/>
    <w:rsid w:val="2F0B683E"/>
    <w:rsid w:val="2F1251F2"/>
    <w:rsid w:val="2F1B08DB"/>
    <w:rsid w:val="2F2D445E"/>
    <w:rsid w:val="2F4F6FBB"/>
    <w:rsid w:val="2F664E2B"/>
    <w:rsid w:val="2F6C7BE3"/>
    <w:rsid w:val="2F6E3A80"/>
    <w:rsid w:val="2F715580"/>
    <w:rsid w:val="2F783485"/>
    <w:rsid w:val="2F7F5C0B"/>
    <w:rsid w:val="2FA6492D"/>
    <w:rsid w:val="2FC86676"/>
    <w:rsid w:val="2FD150ED"/>
    <w:rsid w:val="2FD17A1B"/>
    <w:rsid w:val="2FD71CA4"/>
    <w:rsid w:val="2FDA1416"/>
    <w:rsid w:val="2FDC4A8D"/>
    <w:rsid w:val="2FDE43D5"/>
    <w:rsid w:val="2FEE50B1"/>
    <w:rsid w:val="2FF93066"/>
    <w:rsid w:val="300D4197"/>
    <w:rsid w:val="301A71CE"/>
    <w:rsid w:val="301C3E88"/>
    <w:rsid w:val="301E049B"/>
    <w:rsid w:val="302A4BE6"/>
    <w:rsid w:val="303C7735"/>
    <w:rsid w:val="304117E8"/>
    <w:rsid w:val="304478EC"/>
    <w:rsid w:val="30515C8E"/>
    <w:rsid w:val="30517245"/>
    <w:rsid w:val="305F776C"/>
    <w:rsid w:val="306C64E5"/>
    <w:rsid w:val="3091013E"/>
    <w:rsid w:val="30926F91"/>
    <w:rsid w:val="309440A1"/>
    <w:rsid w:val="30962F3E"/>
    <w:rsid w:val="30AA2585"/>
    <w:rsid w:val="30B03DC4"/>
    <w:rsid w:val="30C16A19"/>
    <w:rsid w:val="30CB5800"/>
    <w:rsid w:val="30D32236"/>
    <w:rsid w:val="30F92FE5"/>
    <w:rsid w:val="30FA7530"/>
    <w:rsid w:val="30FF2795"/>
    <w:rsid w:val="310225AA"/>
    <w:rsid w:val="310375CD"/>
    <w:rsid w:val="310B0487"/>
    <w:rsid w:val="310E6387"/>
    <w:rsid w:val="311611B3"/>
    <w:rsid w:val="311A6C35"/>
    <w:rsid w:val="31333AA3"/>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718F2"/>
    <w:rsid w:val="31C819E4"/>
    <w:rsid w:val="31C916F7"/>
    <w:rsid w:val="31D20051"/>
    <w:rsid w:val="31D54649"/>
    <w:rsid w:val="31E806EF"/>
    <w:rsid w:val="31EF7EE8"/>
    <w:rsid w:val="31FF1FAB"/>
    <w:rsid w:val="3201404F"/>
    <w:rsid w:val="320901F5"/>
    <w:rsid w:val="320B7CCB"/>
    <w:rsid w:val="320F12CA"/>
    <w:rsid w:val="32105DE8"/>
    <w:rsid w:val="32163AC8"/>
    <w:rsid w:val="3235187E"/>
    <w:rsid w:val="3237186B"/>
    <w:rsid w:val="323B6798"/>
    <w:rsid w:val="32470AEB"/>
    <w:rsid w:val="32537B57"/>
    <w:rsid w:val="325779E7"/>
    <w:rsid w:val="325B1D9C"/>
    <w:rsid w:val="325F618E"/>
    <w:rsid w:val="32724A5B"/>
    <w:rsid w:val="32757E99"/>
    <w:rsid w:val="32770A74"/>
    <w:rsid w:val="327D43E5"/>
    <w:rsid w:val="328F5534"/>
    <w:rsid w:val="329A6ACE"/>
    <w:rsid w:val="32A145CA"/>
    <w:rsid w:val="32A230DB"/>
    <w:rsid w:val="32BB0394"/>
    <w:rsid w:val="32CE7F7A"/>
    <w:rsid w:val="32DF351E"/>
    <w:rsid w:val="32EE5E41"/>
    <w:rsid w:val="32F40F87"/>
    <w:rsid w:val="32F549ED"/>
    <w:rsid w:val="32FD7C76"/>
    <w:rsid w:val="330C22FC"/>
    <w:rsid w:val="33277E81"/>
    <w:rsid w:val="33304A5C"/>
    <w:rsid w:val="33404DED"/>
    <w:rsid w:val="334B2535"/>
    <w:rsid w:val="33540E5D"/>
    <w:rsid w:val="33575633"/>
    <w:rsid w:val="33587D60"/>
    <w:rsid w:val="335A0521"/>
    <w:rsid w:val="335E7B11"/>
    <w:rsid w:val="336032E8"/>
    <w:rsid w:val="3364318B"/>
    <w:rsid w:val="33691888"/>
    <w:rsid w:val="336A499A"/>
    <w:rsid w:val="336F3D1A"/>
    <w:rsid w:val="33714830"/>
    <w:rsid w:val="33737F51"/>
    <w:rsid w:val="33764F61"/>
    <w:rsid w:val="337964FF"/>
    <w:rsid w:val="337D34FB"/>
    <w:rsid w:val="337E2DAF"/>
    <w:rsid w:val="33953C2E"/>
    <w:rsid w:val="339D6884"/>
    <w:rsid w:val="33A47053"/>
    <w:rsid w:val="33A5256D"/>
    <w:rsid w:val="33BF4199"/>
    <w:rsid w:val="33C259F7"/>
    <w:rsid w:val="33C47354"/>
    <w:rsid w:val="33CD6498"/>
    <w:rsid w:val="33D52499"/>
    <w:rsid w:val="33D7554F"/>
    <w:rsid w:val="33ED2B2C"/>
    <w:rsid w:val="33FB4AD5"/>
    <w:rsid w:val="33FE62E7"/>
    <w:rsid w:val="34080399"/>
    <w:rsid w:val="340D25F6"/>
    <w:rsid w:val="341E0A7E"/>
    <w:rsid w:val="34216BA7"/>
    <w:rsid w:val="3429226D"/>
    <w:rsid w:val="342B76C7"/>
    <w:rsid w:val="34341A95"/>
    <w:rsid w:val="343A1527"/>
    <w:rsid w:val="34447898"/>
    <w:rsid w:val="344E62FA"/>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F34951"/>
    <w:rsid w:val="34FD3BA4"/>
    <w:rsid w:val="350B42D5"/>
    <w:rsid w:val="350F6258"/>
    <w:rsid w:val="351A603C"/>
    <w:rsid w:val="352821F6"/>
    <w:rsid w:val="353348DC"/>
    <w:rsid w:val="3533698A"/>
    <w:rsid w:val="35387F19"/>
    <w:rsid w:val="3539550B"/>
    <w:rsid w:val="35533061"/>
    <w:rsid w:val="35553BD3"/>
    <w:rsid w:val="356678B4"/>
    <w:rsid w:val="356F0F35"/>
    <w:rsid w:val="3573649F"/>
    <w:rsid w:val="357E4B0A"/>
    <w:rsid w:val="35807F17"/>
    <w:rsid w:val="35866D7F"/>
    <w:rsid w:val="35897ADA"/>
    <w:rsid w:val="358F6BDF"/>
    <w:rsid w:val="35C06D50"/>
    <w:rsid w:val="35CA3D9E"/>
    <w:rsid w:val="35CD6F14"/>
    <w:rsid w:val="35D24294"/>
    <w:rsid w:val="35D71152"/>
    <w:rsid w:val="35D963E6"/>
    <w:rsid w:val="35DC736B"/>
    <w:rsid w:val="35ED4C4F"/>
    <w:rsid w:val="35F13CA9"/>
    <w:rsid w:val="35F23B39"/>
    <w:rsid w:val="35FF6F3C"/>
    <w:rsid w:val="36075F27"/>
    <w:rsid w:val="36121506"/>
    <w:rsid w:val="361A62E3"/>
    <w:rsid w:val="361D621A"/>
    <w:rsid w:val="361D7A43"/>
    <w:rsid w:val="361F3323"/>
    <w:rsid w:val="363B4A32"/>
    <w:rsid w:val="36402EFA"/>
    <w:rsid w:val="36496A51"/>
    <w:rsid w:val="365623F6"/>
    <w:rsid w:val="36820DFD"/>
    <w:rsid w:val="368230C6"/>
    <w:rsid w:val="36831B61"/>
    <w:rsid w:val="36843A03"/>
    <w:rsid w:val="368E7248"/>
    <w:rsid w:val="368F7E4F"/>
    <w:rsid w:val="36985297"/>
    <w:rsid w:val="369F633B"/>
    <w:rsid w:val="36A30FDB"/>
    <w:rsid w:val="36A7007C"/>
    <w:rsid w:val="36B24AE8"/>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73233"/>
    <w:rsid w:val="371C344E"/>
    <w:rsid w:val="37202311"/>
    <w:rsid w:val="37226558"/>
    <w:rsid w:val="3734159D"/>
    <w:rsid w:val="37382526"/>
    <w:rsid w:val="373B4C89"/>
    <w:rsid w:val="373F4A34"/>
    <w:rsid w:val="37503E6C"/>
    <w:rsid w:val="3758590A"/>
    <w:rsid w:val="375E77B2"/>
    <w:rsid w:val="37602E60"/>
    <w:rsid w:val="378229A7"/>
    <w:rsid w:val="3784394E"/>
    <w:rsid w:val="37856510"/>
    <w:rsid w:val="37873940"/>
    <w:rsid w:val="37944D89"/>
    <w:rsid w:val="379850C2"/>
    <w:rsid w:val="37987437"/>
    <w:rsid w:val="379F33FC"/>
    <w:rsid w:val="37A432E4"/>
    <w:rsid w:val="37A86196"/>
    <w:rsid w:val="37B173A7"/>
    <w:rsid w:val="37C94031"/>
    <w:rsid w:val="37CA042E"/>
    <w:rsid w:val="37D44549"/>
    <w:rsid w:val="37D77B09"/>
    <w:rsid w:val="37D97EDE"/>
    <w:rsid w:val="37DF2F93"/>
    <w:rsid w:val="37E76E34"/>
    <w:rsid w:val="37FE02EA"/>
    <w:rsid w:val="380D02B1"/>
    <w:rsid w:val="380F1889"/>
    <w:rsid w:val="38137C9C"/>
    <w:rsid w:val="381F4DE1"/>
    <w:rsid w:val="382B1BDF"/>
    <w:rsid w:val="382E392C"/>
    <w:rsid w:val="38342E90"/>
    <w:rsid w:val="384B7332"/>
    <w:rsid w:val="385056AF"/>
    <w:rsid w:val="38505C1D"/>
    <w:rsid w:val="38571C7D"/>
    <w:rsid w:val="38593C76"/>
    <w:rsid w:val="386A7142"/>
    <w:rsid w:val="38706DCB"/>
    <w:rsid w:val="38784056"/>
    <w:rsid w:val="38885FCC"/>
    <w:rsid w:val="388E5848"/>
    <w:rsid w:val="3896426D"/>
    <w:rsid w:val="38A058F5"/>
    <w:rsid w:val="38A341A7"/>
    <w:rsid w:val="38A75C0A"/>
    <w:rsid w:val="38B624DA"/>
    <w:rsid w:val="38BD31EE"/>
    <w:rsid w:val="38CB3BDF"/>
    <w:rsid w:val="38D33D29"/>
    <w:rsid w:val="38D41CCF"/>
    <w:rsid w:val="38D808BC"/>
    <w:rsid w:val="38E40A5B"/>
    <w:rsid w:val="38F16A28"/>
    <w:rsid w:val="38FA10A5"/>
    <w:rsid w:val="390A2E6E"/>
    <w:rsid w:val="391A3359"/>
    <w:rsid w:val="39243950"/>
    <w:rsid w:val="39285D57"/>
    <w:rsid w:val="39305263"/>
    <w:rsid w:val="394303B9"/>
    <w:rsid w:val="394B6470"/>
    <w:rsid w:val="395B1104"/>
    <w:rsid w:val="395C6EA8"/>
    <w:rsid w:val="39660A83"/>
    <w:rsid w:val="39747EC7"/>
    <w:rsid w:val="39752A0F"/>
    <w:rsid w:val="39872512"/>
    <w:rsid w:val="39A602F9"/>
    <w:rsid w:val="39BD45C8"/>
    <w:rsid w:val="39C2316A"/>
    <w:rsid w:val="39D733F3"/>
    <w:rsid w:val="39D87563"/>
    <w:rsid w:val="39E8110F"/>
    <w:rsid w:val="39F36281"/>
    <w:rsid w:val="39F81192"/>
    <w:rsid w:val="39FD376D"/>
    <w:rsid w:val="39FD6C9C"/>
    <w:rsid w:val="3A0224B9"/>
    <w:rsid w:val="3A16728B"/>
    <w:rsid w:val="3A16794C"/>
    <w:rsid w:val="3A1F6809"/>
    <w:rsid w:val="3A226969"/>
    <w:rsid w:val="3A286675"/>
    <w:rsid w:val="3A3F47CE"/>
    <w:rsid w:val="3A4E1C5D"/>
    <w:rsid w:val="3A523735"/>
    <w:rsid w:val="3A557AE4"/>
    <w:rsid w:val="3A5F0BE3"/>
    <w:rsid w:val="3A613D40"/>
    <w:rsid w:val="3A6B0F84"/>
    <w:rsid w:val="3A727435"/>
    <w:rsid w:val="3A813EA6"/>
    <w:rsid w:val="3A82130D"/>
    <w:rsid w:val="3A94055A"/>
    <w:rsid w:val="3AB00167"/>
    <w:rsid w:val="3ABC496A"/>
    <w:rsid w:val="3AC17E3A"/>
    <w:rsid w:val="3AC4083B"/>
    <w:rsid w:val="3ACB5746"/>
    <w:rsid w:val="3ACD76A7"/>
    <w:rsid w:val="3ACE209E"/>
    <w:rsid w:val="3ACF1A69"/>
    <w:rsid w:val="3ACF294F"/>
    <w:rsid w:val="3AD14283"/>
    <w:rsid w:val="3ADD2B05"/>
    <w:rsid w:val="3AE417E3"/>
    <w:rsid w:val="3AE440AF"/>
    <w:rsid w:val="3AEE0E24"/>
    <w:rsid w:val="3AF7667E"/>
    <w:rsid w:val="3B100AE6"/>
    <w:rsid w:val="3B113F51"/>
    <w:rsid w:val="3B192990"/>
    <w:rsid w:val="3B253D7E"/>
    <w:rsid w:val="3B2965F0"/>
    <w:rsid w:val="3B2D3716"/>
    <w:rsid w:val="3B307112"/>
    <w:rsid w:val="3B354011"/>
    <w:rsid w:val="3B386133"/>
    <w:rsid w:val="3B3939FB"/>
    <w:rsid w:val="3B3E5BDD"/>
    <w:rsid w:val="3B48093E"/>
    <w:rsid w:val="3B543B9A"/>
    <w:rsid w:val="3B5A2A22"/>
    <w:rsid w:val="3B63785C"/>
    <w:rsid w:val="3B6841B0"/>
    <w:rsid w:val="3B707794"/>
    <w:rsid w:val="3B751B9A"/>
    <w:rsid w:val="3B773A0C"/>
    <w:rsid w:val="3B7804A3"/>
    <w:rsid w:val="3B7B70D6"/>
    <w:rsid w:val="3B8443B3"/>
    <w:rsid w:val="3B8E2153"/>
    <w:rsid w:val="3B95464E"/>
    <w:rsid w:val="3B9B2072"/>
    <w:rsid w:val="3B9F07E0"/>
    <w:rsid w:val="3BA03B83"/>
    <w:rsid w:val="3BA34296"/>
    <w:rsid w:val="3BB20883"/>
    <w:rsid w:val="3BC05BA8"/>
    <w:rsid w:val="3BC34E75"/>
    <w:rsid w:val="3BCB270F"/>
    <w:rsid w:val="3BD96AA6"/>
    <w:rsid w:val="3BDB182F"/>
    <w:rsid w:val="3BED002E"/>
    <w:rsid w:val="3C012D01"/>
    <w:rsid w:val="3C0429BF"/>
    <w:rsid w:val="3C1A201A"/>
    <w:rsid w:val="3C204D27"/>
    <w:rsid w:val="3C276807"/>
    <w:rsid w:val="3C371D4B"/>
    <w:rsid w:val="3C3865F6"/>
    <w:rsid w:val="3C3B4B9D"/>
    <w:rsid w:val="3C3E4F02"/>
    <w:rsid w:val="3C413C82"/>
    <w:rsid w:val="3C471C36"/>
    <w:rsid w:val="3C4B0140"/>
    <w:rsid w:val="3C4D66ED"/>
    <w:rsid w:val="3C5A1883"/>
    <w:rsid w:val="3C5A6B66"/>
    <w:rsid w:val="3C687D45"/>
    <w:rsid w:val="3C734413"/>
    <w:rsid w:val="3C7537FA"/>
    <w:rsid w:val="3C8620A7"/>
    <w:rsid w:val="3C8F4440"/>
    <w:rsid w:val="3C982C18"/>
    <w:rsid w:val="3C9C64EF"/>
    <w:rsid w:val="3CA734F8"/>
    <w:rsid w:val="3CA95F71"/>
    <w:rsid w:val="3CAD771B"/>
    <w:rsid w:val="3CC16893"/>
    <w:rsid w:val="3CC74223"/>
    <w:rsid w:val="3CC828D0"/>
    <w:rsid w:val="3CD50970"/>
    <w:rsid w:val="3CDB5F96"/>
    <w:rsid w:val="3CE23F49"/>
    <w:rsid w:val="3CE34050"/>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B50DF4"/>
    <w:rsid w:val="3DCF7004"/>
    <w:rsid w:val="3DDA4B31"/>
    <w:rsid w:val="3DDB67AE"/>
    <w:rsid w:val="3DE90C78"/>
    <w:rsid w:val="3DED0F96"/>
    <w:rsid w:val="3DF95812"/>
    <w:rsid w:val="3DFD28B5"/>
    <w:rsid w:val="3E1B3AAC"/>
    <w:rsid w:val="3E1D4B24"/>
    <w:rsid w:val="3E2B1325"/>
    <w:rsid w:val="3E374A6D"/>
    <w:rsid w:val="3E3A04FA"/>
    <w:rsid w:val="3E3B1403"/>
    <w:rsid w:val="3E3D6B96"/>
    <w:rsid w:val="3E441C7D"/>
    <w:rsid w:val="3E490256"/>
    <w:rsid w:val="3E4C47D8"/>
    <w:rsid w:val="3E4E163C"/>
    <w:rsid w:val="3E4E3E8B"/>
    <w:rsid w:val="3E55739E"/>
    <w:rsid w:val="3E557A55"/>
    <w:rsid w:val="3E5E28E2"/>
    <w:rsid w:val="3E6C43C8"/>
    <w:rsid w:val="3E8227F0"/>
    <w:rsid w:val="3E8316FA"/>
    <w:rsid w:val="3E900915"/>
    <w:rsid w:val="3E9055C8"/>
    <w:rsid w:val="3E937F82"/>
    <w:rsid w:val="3E9A1443"/>
    <w:rsid w:val="3E9B4B40"/>
    <w:rsid w:val="3EB709F3"/>
    <w:rsid w:val="3EB71AC8"/>
    <w:rsid w:val="3EB93EF6"/>
    <w:rsid w:val="3EC71336"/>
    <w:rsid w:val="3EC85E34"/>
    <w:rsid w:val="3ECD2EE4"/>
    <w:rsid w:val="3ECF2AAC"/>
    <w:rsid w:val="3ED0424C"/>
    <w:rsid w:val="3ED07B7E"/>
    <w:rsid w:val="3ED16FB1"/>
    <w:rsid w:val="3EDA522E"/>
    <w:rsid w:val="3EE63AC0"/>
    <w:rsid w:val="3EEB4E5A"/>
    <w:rsid w:val="3EF31E7F"/>
    <w:rsid w:val="3EF36DF0"/>
    <w:rsid w:val="3EFB0134"/>
    <w:rsid w:val="3F0110D6"/>
    <w:rsid w:val="3F035EE1"/>
    <w:rsid w:val="3F053EF6"/>
    <w:rsid w:val="3F093188"/>
    <w:rsid w:val="3F173F6B"/>
    <w:rsid w:val="3F1E1DE8"/>
    <w:rsid w:val="3F253B0C"/>
    <w:rsid w:val="3F2C04C4"/>
    <w:rsid w:val="3F374FF9"/>
    <w:rsid w:val="3F3E7C9F"/>
    <w:rsid w:val="3F416B99"/>
    <w:rsid w:val="3F4F5AD7"/>
    <w:rsid w:val="3F5E304E"/>
    <w:rsid w:val="3F643908"/>
    <w:rsid w:val="3F6B75A6"/>
    <w:rsid w:val="3F6C393F"/>
    <w:rsid w:val="3F8C0A49"/>
    <w:rsid w:val="3F8E7DCD"/>
    <w:rsid w:val="3F913853"/>
    <w:rsid w:val="3F9660C3"/>
    <w:rsid w:val="3F9724DD"/>
    <w:rsid w:val="3FA827ED"/>
    <w:rsid w:val="3FB45C58"/>
    <w:rsid w:val="3FB97AA8"/>
    <w:rsid w:val="3FC36557"/>
    <w:rsid w:val="3FC956FF"/>
    <w:rsid w:val="3FCA4020"/>
    <w:rsid w:val="3FD13F50"/>
    <w:rsid w:val="3FD858EB"/>
    <w:rsid w:val="3FDC5F31"/>
    <w:rsid w:val="3FE04625"/>
    <w:rsid w:val="3FE86CE8"/>
    <w:rsid w:val="3FF82684"/>
    <w:rsid w:val="3FFB0F66"/>
    <w:rsid w:val="40146E6B"/>
    <w:rsid w:val="402C6E5E"/>
    <w:rsid w:val="402D4C90"/>
    <w:rsid w:val="403052F1"/>
    <w:rsid w:val="40321098"/>
    <w:rsid w:val="40330D29"/>
    <w:rsid w:val="40341B69"/>
    <w:rsid w:val="404469FD"/>
    <w:rsid w:val="404638CD"/>
    <w:rsid w:val="404A2717"/>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B14EF"/>
    <w:rsid w:val="40CF543F"/>
    <w:rsid w:val="40EC7D18"/>
    <w:rsid w:val="40ED11A0"/>
    <w:rsid w:val="40FA7F84"/>
    <w:rsid w:val="40FD1BF0"/>
    <w:rsid w:val="41096BC0"/>
    <w:rsid w:val="410A75B6"/>
    <w:rsid w:val="410B452A"/>
    <w:rsid w:val="411251DD"/>
    <w:rsid w:val="41146D26"/>
    <w:rsid w:val="411D1161"/>
    <w:rsid w:val="41334FB7"/>
    <w:rsid w:val="413353F1"/>
    <w:rsid w:val="4137558E"/>
    <w:rsid w:val="4146047F"/>
    <w:rsid w:val="41513BC9"/>
    <w:rsid w:val="416B4DCF"/>
    <w:rsid w:val="41735B7F"/>
    <w:rsid w:val="41810E86"/>
    <w:rsid w:val="41850830"/>
    <w:rsid w:val="4185372F"/>
    <w:rsid w:val="419658B5"/>
    <w:rsid w:val="419868AD"/>
    <w:rsid w:val="419E60D3"/>
    <w:rsid w:val="41A339F5"/>
    <w:rsid w:val="41A36C7E"/>
    <w:rsid w:val="41A40141"/>
    <w:rsid w:val="41B928D7"/>
    <w:rsid w:val="41BA3A2C"/>
    <w:rsid w:val="41BB3AE7"/>
    <w:rsid w:val="41C93F6C"/>
    <w:rsid w:val="41D540E6"/>
    <w:rsid w:val="41D71584"/>
    <w:rsid w:val="41D75714"/>
    <w:rsid w:val="41DD3BC3"/>
    <w:rsid w:val="41DE47A6"/>
    <w:rsid w:val="41E0049A"/>
    <w:rsid w:val="41E974A1"/>
    <w:rsid w:val="41EE2F03"/>
    <w:rsid w:val="41F466FD"/>
    <w:rsid w:val="41F62234"/>
    <w:rsid w:val="42002BC7"/>
    <w:rsid w:val="42026B03"/>
    <w:rsid w:val="420D197F"/>
    <w:rsid w:val="42127B33"/>
    <w:rsid w:val="4215519C"/>
    <w:rsid w:val="42187EBE"/>
    <w:rsid w:val="42192629"/>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D119C"/>
    <w:rsid w:val="42B561EC"/>
    <w:rsid w:val="42B94BC1"/>
    <w:rsid w:val="42C30254"/>
    <w:rsid w:val="42C42A08"/>
    <w:rsid w:val="42C769E7"/>
    <w:rsid w:val="42D064B1"/>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327FD"/>
    <w:rsid w:val="433F6B54"/>
    <w:rsid w:val="4346543A"/>
    <w:rsid w:val="434B65FD"/>
    <w:rsid w:val="43533E29"/>
    <w:rsid w:val="435B1259"/>
    <w:rsid w:val="435C61C5"/>
    <w:rsid w:val="436263D5"/>
    <w:rsid w:val="437556C4"/>
    <w:rsid w:val="43874CD4"/>
    <w:rsid w:val="439B699F"/>
    <w:rsid w:val="43AF2D32"/>
    <w:rsid w:val="43B45922"/>
    <w:rsid w:val="43B7275B"/>
    <w:rsid w:val="43B76E4F"/>
    <w:rsid w:val="43CF0206"/>
    <w:rsid w:val="43D85D6D"/>
    <w:rsid w:val="43E32604"/>
    <w:rsid w:val="43EC6F1F"/>
    <w:rsid w:val="43F655BC"/>
    <w:rsid w:val="43FE44BA"/>
    <w:rsid w:val="440D5045"/>
    <w:rsid w:val="440F6C97"/>
    <w:rsid w:val="44300615"/>
    <w:rsid w:val="44371929"/>
    <w:rsid w:val="443740AF"/>
    <w:rsid w:val="443C61BB"/>
    <w:rsid w:val="44480935"/>
    <w:rsid w:val="444851FA"/>
    <w:rsid w:val="445873A3"/>
    <w:rsid w:val="445E4DEE"/>
    <w:rsid w:val="44640994"/>
    <w:rsid w:val="446B0434"/>
    <w:rsid w:val="44756A66"/>
    <w:rsid w:val="447A208F"/>
    <w:rsid w:val="447E4EBE"/>
    <w:rsid w:val="447F0CBA"/>
    <w:rsid w:val="448226F3"/>
    <w:rsid w:val="44957F46"/>
    <w:rsid w:val="44994CF5"/>
    <w:rsid w:val="449F21F7"/>
    <w:rsid w:val="44CC46BA"/>
    <w:rsid w:val="44DC46EB"/>
    <w:rsid w:val="44E8312D"/>
    <w:rsid w:val="44EA6491"/>
    <w:rsid w:val="44F03F8F"/>
    <w:rsid w:val="44F14ECF"/>
    <w:rsid w:val="451837D5"/>
    <w:rsid w:val="451A120C"/>
    <w:rsid w:val="45275172"/>
    <w:rsid w:val="45306C84"/>
    <w:rsid w:val="45332511"/>
    <w:rsid w:val="453F44DA"/>
    <w:rsid w:val="45412391"/>
    <w:rsid w:val="45412C46"/>
    <w:rsid w:val="45415434"/>
    <w:rsid w:val="454316E5"/>
    <w:rsid w:val="45440AD0"/>
    <w:rsid w:val="454A3E13"/>
    <w:rsid w:val="45514AD5"/>
    <w:rsid w:val="4552412E"/>
    <w:rsid w:val="455908C0"/>
    <w:rsid w:val="457002F0"/>
    <w:rsid w:val="45743BE6"/>
    <w:rsid w:val="4575513B"/>
    <w:rsid w:val="45761EDD"/>
    <w:rsid w:val="45773005"/>
    <w:rsid w:val="457A7286"/>
    <w:rsid w:val="457B06AA"/>
    <w:rsid w:val="457C7D39"/>
    <w:rsid w:val="458667C4"/>
    <w:rsid w:val="458F5163"/>
    <w:rsid w:val="45940009"/>
    <w:rsid w:val="459405E3"/>
    <w:rsid w:val="459C5A47"/>
    <w:rsid w:val="45A5284F"/>
    <w:rsid w:val="45A82F38"/>
    <w:rsid w:val="45AC19CC"/>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0F1C96"/>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55DC3"/>
    <w:rsid w:val="46560D65"/>
    <w:rsid w:val="465901BC"/>
    <w:rsid w:val="46617DB2"/>
    <w:rsid w:val="46621065"/>
    <w:rsid w:val="46665198"/>
    <w:rsid w:val="46697236"/>
    <w:rsid w:val="46770F8B"/>
    <w:rsid w:val="467C16FA"/>
    <w:rsid w:val="467C28B2"/>
    <w:rsid w:val="46831AE2"/>
    <w:rsid w:val="46894B18"/>
    <w:rsid w:val="469448C6"/>
    <w:rsid w:val="46953B12"/>
    <w:rsid w:val="469965DF"/>
    <w:rsid w:val="469A1E62"/>
    <w:rsid w:val="46AB0067"/>
    <w:rsid w:val="46B80AF8"/>
    <w:rsid w:val="46D37F0B"/>
    <w:rsid w:val="46D71533"/>
    <w:rsid w:val="46E53335"/>
    <w:rsid w:val="46ED5319"/>
    <w:rsid w:val="46FF5C70"/>
    <w:rsid w:val="47155D89"/>
    <w:rsid w:val="473069AF"/>
    <w:rsid w:val="473E4AD0"/>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D511BD"/>
    <w:rsid w:val="47DB65F6"/>
    <w:rsid w:val="47DD11F5"/>
    <w:rsid w:val="47ED307F"/>
    <w:rsid w:val="48020DE8"/>
    <w:rsid w:val="4808150F"/>
    <w:rsid w:val="480F51A8"/>
    <w:rsid w:val="48256B1B"/>
    <w:rsid w:val="482714E0"/>
    <w:rsid w:val="48282713"/>
    <w:rsid w:val="483914BE"/>
    <w:rsid w:val="484417FA"/>
    <w:rsid w:val="48450ECE"/>
    <w:rsid w:val="484759CD"/>
    <w:rsid w:val="484B14EC"/>
    <w:rsid w:val="485A1E43"/>
    <w:rsid w:val="48602710"/>
    <w:rsid w:val="48713351"/>
    <w:rsid w:val="487620DF"/>
    <w:rsid w:val="48802846"/>
    <w:rsid w:val="488260F9"/>
    <w:rsid w:val="48850157"/>
    <w:rsid w:val="48916C74"/>
    <w:rsid w:val="48916F56"/>
    <w:rsid w:val="4892478F"/>
    <w:rsid w:val="48971227"/>
    <w:rsid w:val="48A736CF"/>
    <w:rsid w:val="48A779B9"/>
    <w:rsid w:val="48B116EA"/>
    <w:rsid w:val="48B74C7A"/>
    <w:rsid w:val="48BE32BF"/>
    <w:rsid w:val="48C354EC"/>
    <w:rsid w:val="48C4559B"/>
    <w:rsid w:val="48C71A5A"/>
    <w:rsid w:val="48D429DD"/>
    <w:rsid w:val="48E01C77"/>
    <w:rsid w:val="48E22285"/>
    <w:rsid w:val="48E50D90"/>
    <w:rsid w:val="48EB0D16"/>
    <w:rsid w:val="48FA15CC"/>
    <w:rsid w:val="4916605C"/>
    <w:rsid w:val="491B63DF"/>
    <w:rsid w:val="491D63E9"/>
    <w:rsid w:val="4920610E"/>
    <w:rsid w:val="4932285C"/>
    <w:rsid w:val="4937272B"/>
    <w:rsid w:val="4937722C"/>
    <w:rsid w:val="49384E02"/>
    <w:rsid w:val="493E2F78"/>
    <w:rsid w:val="494049CC"/>
    <w:rsid w:val="49411EAF"/>
    <w:rsid w:val="495217DF"/>
    <w:rsid w:val="49572F75"/>
    <w:rsid w:val="4958367A"/>
    <w:rsid w:val="495A044A"/>
    <w:rsid w:val="497206BF"/>
    <w:rsid w:val="497C7C92"/>
    <w:rsid w:val="498817B3"/>
    <w:rsid w:val="498A16CD"/>
    <w:rsid w:val="499C7517"/>
    <w:rsid w:val="499E07E8"/>
    <w:rsid w:val="49A14359"/>
    <w:rsid w:val="49A33C27"/>
    <w:rsid w:val="49A750B5"/>
    <w:rsid w:val="49AB1A6B"/>
    <w:rsid w:val="49BE07DA"/>
    <w:rsid w:val="49C62636"/>
    <w:rsid w:val="49C84AA0"/>
    <w:rsid w:val="49CE3923"/>
    <w:rsid w:val="49CF11BE"/>
    <w:rsid w:val="49D7694D"/>
    <w:rsid w:val="49E234CC"/>
    <w:rsid w:val="49EC3531"/>
    <w:rsid w:val="49F152D3"/>
    <w:rsid w:val="49F8312B"/>
    <w:rsid w:val="4A0244D3"/>
    <w:rsid w:val="4A0B3920"/>
    <w:rsid w:val="4A255046"/>
    <w:rsid w:val="4A276433"/>
    <w:rsid w:val="4A2E1525"/>
    <w:rsid w:val="4A3D3E88"/>
    <w:rsid w:val="4A4A538E"/>
    <w:rsid w:val="4A5A756D"/>
    <w:rsid w:val="4A5E7C7E"/>
    <w:rsid w:val="4A722B4C"/>
    <w:rsid w:val="4A785772"/>
    <w:rsid w:val="4A842E43"/>
    <w:rsid w:val="4A845C50"/>
    <w:rsid w:val="4A89105B"/>
    <w:rsid w:val="4AA341CC"/>
    <w:rsid w:val="4AA939F9"/>
    <w:rsid w:val="4AB21F2E"/>
    <w:rsid w:val="4AC13295"/>
    <w:rsid w:val="4AC31003"/>
    <w:rsid w:val="4AC40F4C"/>
    <w:rsid w:val="4ACC44B7"/>
    <w:rsid w:val="4AD25F33"/>
    <w:rsid w:val="4ADD641F"/>
    <w:rsid w:val="4ADF3B16"/>
    <w:rsid w:val="4AE072CB"/>
    <w:rsid w:val="4AE1398C"/>
    <w:rsid w:val="4AE93159"/>
    <w:rsid w:val="4AE951C1"/>
    <w:rsid w:val="4AF02EA1"/>
    <w:rsid w:val="4AF8693E"/>
    <w:rsid w:val="4AF86E0A"/>
    <w:rsid w:val="4B174032"/>
    <w:rsid w:val="4B227C49"/>
    <w:rsid w:val="4B250CF8"/>
    <w:rsid w:val="4B2873FD"/>
    <w:rsid w:val="4B2E0668"/>
    <w:rsid w:val="4B3C6133"/>
    <w:rsid w:val="4B3D4DE9"/>
    <w:rsid w:val="4B7727E1"/>
    <w:rsid w:val="4B7C4100"/>
    <w:rsid w:val="4B830F9B"/>
    <w:rsid w:val="4B8A54FE"/>
    <w:rsid w:val="4B8F2DD0"/>
    <w:rsid w:val="4B9B06E8"/>
    <w:rsid w:val="4B9B0C47"/>
    <w:rsid w:val="4B9D4011"/>
    <w:rsid w:val="4BB36BDD"/>
    <w:rsid w:val="4BB60507"/>
    <w:rsid w:val="4BC32290"/>
    <w:rsid w:val="4BD0339A"/>
    <w:rsid w:val="4BD41FD1"/>
    <w:rsid w:val="4BF23C29"/>
    <w:rsid w:val="4BF32495"/>
    <w:rsid w:val="4BF838F0"/>
    <w:rsid w:val="4BFA3FA2"/>
    <w:rsid w:val="4C065916"/>
    <w:rsid w:val="4C096C71"/>
    <w:rsid w:val="4C1269A9"/>
    <w:rsid w:val="4C1A51CC"/>
    <w:rsid w:val="4C2910DF"/>
    <w:rsid w:val="4C2B4DDD"/>
    <w:rsid w:val="4C3743A5"/>
    <w:rsid w:val="4C3C6B23"/>
    <w:rsid w:val="4C521E0D"/>
    <w:rsid w:val="4C562817"/>
    <w:rsid w:val="4C562920"/>
    <w:rsid w:val="4C5D1F92"/>
    <w:rsid w:val="4C603F16"/>
    <w:rsid w:val="4C6262E0"/>
    <w:rsid w:val="4C6703A3"/>
    <w:rsid w:val="4C6A0682"/>
    <w:rsid w:val="4C6D7518"/>
    <w:rsid w:val="4C923A72"/>
    <w:rsid w:val="4C9B5631"/>
    <w:rsid w:val="4CB836A9"/>
    <w:rsid w:val="4CB96B0F"/>
    <w:rsid w:val="4CBD582C"/>
    <w:rsid w:val="4CC82D24"/>
    <w:rsid w:val="4CCF2CDE"/>
    <w:rsid w:val="4CD84F4C"/>
    <w:rsid w:val="4CE34E9F"/>
    <w:rsid w:val="4CF52D94"/>
    <w:rsid w:val="4CFE5028"/>
    <w:rsid w:val="4D0B5968"/>
    <w:rsid w:val="4D19368B"/>
    <w:rsid w:val="4D462159"/>
    <w:rsid w:val="4D47409F"/>
    <w:rsid w:val="4D525BE3"/>
    <w:rsid w:val="4D566017"/>
    <w:rsid w:val="4D6022FC"/>
    <w:rsid w:val="4D695FF9"/>
    <w:rsid w:val="4D7D3EFB"/>
    <w:rsid w:val="4D866DE7"/>
    <w:rsid w:val="4D8B0123"/>
    <w:rsid w:val="4D931B47"/>
    <w:rsid w:val="4DAF14C5"/>
    <w:rsid w:val="4DB9067A"/>
    <w:rsid w:val="4DC605B6"/>
    <w:rsid w:val="4DCB146F"/>
    <w:rsid w:val="4DD732D2"/>
    <w:rsid w:val="4DEC0985"/>
    <w:rsid w:val="4DF85277"/>
    <w:rsid w:val="4E024AB6"/>
    <w:rsid w:val="4E0538A3"/>
    <w:rsid w:val="4E0E6818"/>
    <w:rsid w:val="4E27683A"/>
    <w:rsid w:val="4E321D35"/>
    <w:rsid w:val="4E397241"/>
    <w:rsid w:val="4E4B2B03"/>
    <w:rsid w:val="4E4C50A3"/>
    <w:rsid w:val="4E510698"/>
    <w:rsid w:val="4E576363"/>
    <w:rsid w:val="4E5D49B1"/>
    <w:rsid w:val="4E635567"/>
    <w:rsid w:val="4E674786"/>
    <w:rsid w:val="4E6E0A65"/>
    <w:rsid w:val="4E742982"/>
    <w:rsid w:val="4E7F1E8F"/>
    <w:rsid w:val="4E7F5AF4"/>
    <w:rsid w:val="4E862481"/>
    <w:rsid w:val="4E9C0636"/>
    <w:rsid w:val="4E9D29FB"/>
    <w:rsid w:val="4EA22C4C"/>
    <w:rsid w:val="4EA30DB6"/>
    <w:rsid w:val="4EA7341F"/>
    <w:rsid w:val="4EDB58B2"/>
    <w:rsid w:val="4EDD1619"/>
    <w:rsid w:val="4EE925CE"/>
    <w:rsid w:val="4EEA44EB"/>
    <w:rsid w:val="4EEB1A94"/>
    <w:rsid w:val="4EEF2E30"/>
    <w:rsid w:val="4EF24828"/>
    <w:rsid w:val="4EFB7E91"/>
    <w:rsid w:val="4EFE7F59"/>
    <w:rsid w:val="4F1137C6"/>
    <w:rsid w:val="4F23603C"/>
    <w:rsid w:val="4F285975"/>
    <w:rsid w:val="4F2A7BF3"/>
    <w:rsid w:val="4F2E2624"/>
    <w:rsid w:val="4F38184E"/>
    <w:rsid w:val="4F4E1077"/>
    <w:rsid w:val="4F546156"/>
    <w:rsid w:val="4F7C5525"/>
    <w:rsid w:val="4F7E74BF"/>
    <w:rsid w:val="4F844A99"/>
    <w:rsid w:val="4F863785"/>
    <w:rsid w:val="4F9214FD"/>
    <w:rsid w:val="4F94662C"/>
    <w:rsid w:val="4FB00163"/>
    <w:rsid w:val="4FB208E7"/>
    <w:rsid w:val="4FBF4BE3"/>
    <w:rsid w:val="4FDA6E7F"/>
    <w:rsid w:val="4FE30332"/>
    <w:rsid w:val="4FE70BB4"/>
    <w:rsid w:val="4FE73C01"/>
    <w:rsid w:val="4FE87C31"/>
    <w:rsid w:val="4FF14DCF"/>
    <w:rsid w:val="4FF85C93"/>
    <w:rsid w:val="50070D86"/>
    <w:rsid w:val="500815B6"/>
    <w:rsid w:val="500B39BC"/>
    <w:rsid w:val="500E7DCA"/>
    <w:rsid w:val="50163074"/>
    <w:rsid w:val="501939DF"/>
    <w:rsid w:val="502173F8"/>
    <w:rsid w:val="5022123F"/>
    <w:rsid w:val="502B7315"/>
    <w:rsid w:val="5035213F"/>
    <w:rsid w:val="503E570B"/>
    <w:rsid w:val="503E79CC"/>
    <w:rsid w:val="503F32CF"/>
    <w:rsid w:val="5041152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230220"/>
    <w:rsid w:val="51471753"/>
    <w:rsid w:val="514C513A"/>
    <w:rsid w:val="514E4912"/>
    <w:rsid w:val="515400FF"/>
    <w:rsid w:val="515D735D"/>
    <w:rsid w:val="51623850"/>
    <w:rsid w:val="517418CD"/>
    <w:rsid w:val="51781A83"/>
    <w:rsid w:val="51802CA0"/>
    <w:rsid w:val="51867298"/>
    <w:rsid w:val="51894D69"/>
    <w:rsid w:val="518D21E1"/>
    <w:rsid w:val="51930297"/>
    <w:rsid w:val="51953936"/>
    <w:rsid w:val="519E116A"/>
    <w:rsid w:val="51A2793A"/>
    <w:rsid w:val="51AD2B9C"/>
    <w:rsid w:val="51BA0CB7"/>
    <w:rsid w:val="51C41A0B"/>
    <w:rsid w:val="51C44E20"/>
    <w:rsid w:val="51CF2D5C"/>
    <w:rsid w:val="51D129CA"/>
    <w:rsid w:val="51D93F8A"/>
    <w:rsid w:val="51DC16DA"/>
    <w:rsid w:val="51E5046A"/>
    <w:rsid w:val="52020133"/>
    <w:rsid w:val="520222D8"/>
    <w:rsid w:val="52272B85"/>
    <w:rsid w:val="52284E31"/>
    <w:rsid w:val="523E09B5"/>
    <w:rsid w:val="52687B2A"/>
    <w:rsid w:val="526E0E82"/>
    <w:rsid w:val="527901C6"/>
    <w:rsid w:val="528A0579"/>
    <w:rsid w:val="528F4A24"/>
    <w:rsid w:val="52944BB6"/>
    <w:rsid w:val="52A24532"/>
    <w:rsid w:val="52B3363A"/>
    <w:rsid w:val="52B668EB"/>
    <w:rsid w:val="52B91E49"/>
    <w:rsid w:val="52C4763C"/>
    <w:rsid w:val="52DE691D"/>
    <w:rsid w:val="52E04D27"/>
    <w:rsid w:val="52E16254"/>
    <w:rsid w:val="52E501E0"/>
    <w:rsid w:val="52ED0C96"/>
    <w:rsid w:val="52F53FAD"/>
    <w:rsid w:val="53061721"/>
    <w:rsid w:val="530C0E6B"/>
    <w:rsid w:val="530D1C98"/>
    <w:rsid w:val="531A5380"/>
    <w:rsid w:val="531F0245"/>
    <w:rsid w:val="53227B62"/>
    <w:rsid w:val="532F77EA"/>
    <w:rsid w:val="53367575"/>
    <w:rsid w:val="533933AA"/>
    <w:rsid w:val="533B7F54"/>
    <w:rsid w:val="535009E1"/>
    <w:rsid w:val="535321C1"/>
    <w:rsid w:val="53650168"/>
    <w:rsid w:val="536662B9"/>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E92771"/>
    <w:rsid w:val="53F16BC7"/>
    <w:rsid w:val="53FE7128"/>
    <w:rsid w:val="541E7DB0"/>
    <w:rsid w:val="54201800"/>
    <w:rsid w:val="54247F22"/>
    <w:rsid w:val="542C29CD"/>
    <w:rsid w:val="542F1551"/>
    <w:rsid w:val="54321466"/>
    <w:rsid w:val="54381756"/>
    <w:rsid w:val="545524FD"/>
    <w:rsid w:val="545750B7"/>
    <w:rsid w:val="545A1EBF"/>
    <w:rsid w:val="54727478"/>
    <w:rsid w:val="54835E71"/>
    <w:rsid w:val="5496423C"/>
    <w:rsid w:val="5497051D"/>
    <w:rsid w:val="54A0619E"/>
    <w:rsid w:val="54A068B8"/>
    <w:rsid w:val="54AB65DC"/>
    <w:rsid w:val="54B06F11"/>
    <w:rsid w:val="54B56DF4"/>
    <w:rsid w:val="54B93943"/>
    <w:rsid w:val="54BE5578"/>
    <w:rsid w:val="54BF52B5"/>
    <w:rsid w:val="54D202CA"/>
    <w:rsid w:val="54D54E59"/>
    <w:rsid w:val="54DD41DB"/>
    <w:rsid w:val="54E0050A"/>
    <w:rsid w:val="54E358FF"/>
    <w:rsid w:val="54ED3D78"/>
    <w:rsid w:val="54F52BA3"/>
    <w:rsid w:val="54F54E04"/>
    <w:rsid w:val="54FA5E39"/>
    <w:rsid w:val="550B4121"/>
    <w:rsid w:val="550D5CFC"/>
    <w:rsid w:val="550F3357"/>
    <w:rsid w:val="55126CC5"/>
    <w:rsid w:val="55197997"/>
    <w:rsid w:val="551B6FFD"/>
    <w:rsid w:val="551B7F0A"/>
    <w:rsid w:val="551C7446"/>
    <w:rsid w:val="55276C59"/>
    <w:rsid w:val="552864FA"/>
    <w:rsid w:val="552A6B56"/>
    <w:rsid w:val="5532385A"/>
    <w:rsid w:val="55371339"/>
    <w:rsid w:val="55381D42"/>
    <w:rsid w:val="55401B14"/>
    <w:rsid w:val="554748F2"/>
    <w:rsid w:val="554D414C"/>
    <w:rsid w:val="554E7279"/>
    <w:rsid w:val="55516A9E"/>
    <w:rsid w:val="55594E94"/>
    <w:rsid w:val="55594FFB"/>
    <w:rsid w:val="55637CEB"/>
    <w:rsid w:val="55677DDA"/>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32642A"/>
    <w:rsid w:val="56375B61"/>
    <w:rsid w:val="564944F4"/>
    <w:rsid w:val="564D4C5B"/>
    <w:rsid w:val="564E5820"/>
    <w:rsid w:val="56594C9E"/>
    <w:rsid w:val="56630C00"/>
    <w:rsid w:val="56687250"/>
    <w:rsid w:val="567739D2"/>
    <w:rsid w:val="56775A0A"/>
    <w:rsid w:val="567F6E75"/>
    <w:rsid w:val="5686536D"/>
    <w:rsid w:val="568B1DB1"/>
    <w:rsid w:val="569600BA"/>
    <w:rsid w:val="56A55214"/>
    <w:rsid w:val="56A67978"/>
    <w:rsid w:val="56AC63C5"/>
    <w:rsid w:val="56C008D5"/>
    <w:rsid w:val="56C1700B"/>
    <w:rsid w:val="56C34302"/>
    <w:rsid w:val="56C35508"/>
    <w:rsid w:val="56D25618"/>
    <w:rsid w:val="56D5793F"/>
    <w:rsid w:val="56D7644B"/>
    <w:rsid w:val="56E84A97"/>
    <w:rsid w:val="56FB2A68"/>
    <w:rsid w:val="56FE1A50"/>
    <w:rsid w:val="57011F3E"/>
    <w:rsid w:val="5705646B"/>
    <w:rsid w:val="57060649"/>
    <w:rsid w:val="571A1955"/>
    <w:rsid w:val="572657E3"/>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33734"/>
    <w:rsid w:val="57AB6ADD"/>
    <w:rsid w:val="57AC2A28"/>
    <w:rsid w:val="57B7178E"/>
    <w:rsid w:val="57B76EED"/>
    <w:rsid w:val="57BD72A7"/>
    <w:rsid w:val="57BE5838"/>
    <w:rsid w:val="57D16146"/>
    <w:rsid w:val="57D82354"/>
    <w:rsid w:val="57EB3AC0"/>
    <w:rsid w:val="57EB6DC4"/>
    <w:rsid w:val="57FC07D9"/>
    <w:rsid w:val="57FD7F73"/>
    <w:rsid w:val="57FF6992"/>
    <w:rsid w:val="580B408B"/>
    <w:rsid w:val="580F1B21"/>
    <w:rsid w:val="58191E63"/>
    <w:rsid w:val="581B7E79"/>
    <w:rsid w:val="58325C2F"/>
    <w:rsid w:val="58500F22"/>
    <w:rsid w:val="58510734"/>
    <w:rsid w:val="58527FAB"/>
    <w:rsid w:val="58587379"/>
    <w:rsid w:val="586D57A3"/>
    <w:rsid w:val="587917A0"/>
    <w:rsid w:val="587A4288"/>
    <w:rsid w:val="587B662F"/>
    <w:rsid w:val="5880052B"/>
    <w:rsid w:val="588E76C9"/>
    <w:rsid w:val="589571D3"/>
    <w:rsid w:val="58AD27D9"/>
    <w:rsid w:val="58AD42B1"/>
    <w:rsid w:val="58B169A2"/>
    <w:rsid w:val="58B6512E"/>
    <w:rsid w:val="58B9636C"/>
    <w:rsid w:val="58C37133"/>
    <w:rsid w:val="58C93046"/>
    <w:rsid w:val="58D36BCB"/>
    <w:rsid w:val="58D643B4"/>
    <w:rsid w:val="58D7351E"/>
    <w:rsid w:val="58E6349C"/>
    <w:rsid w:val="58EF63EE"/>
    <w:rsid w:val="590317F0"/>
    <w:rsid w:val="59075000"/>
    <w:rsid w:val="591878D4"/>
    <w:rsid w:val="592A35DE"/>
    <w:rsid w:val="593559FD"/>
    <w:rsid w:val="594079B2"/>
    <w:rsid w:val="59410047"/>
    <w:rsid w:val="594B10BF"/>
    <w:rsid w:val="594E7013"/>
    <w:rsid w:val="59522196"/>
    <w:rsid w:val="596726D9"/>
    <w:rsid w:val="596833A7"/>
    <w:rsid w:val="596A688E"/>
    <w:rsid w:val="59835A6C"/>
    <w:rsid w:val="59843114"/>
    <w:rsid w:val="5987482A"/>
    <w:rsid w:val="598C6F19"/>
    <w:rsid w:val="59931352"/>
    <w:rsid w:val="599B1691"/>
    <w:rsid w:val="599C49A8"/>
    <w:rsid w:val="59A04DAD"/>
    <w:rsid w:val="59A36725"/>
    <w:rsid w:val="59B21BF9"/>
    <w:rsid w:val="59BA46A2"/>
    <w:rsid w:val="59BB4EA3"/>
    <w:rsid w:val="59CF48AD"/>
    <w:rsid w:val="59E9525B"/>
    <w:rsid w:val="59F01484"/>
    <w:rsid w:val="59F55223"/>
    <w:rsid w:val="59F70BAF"/>
    <w:rsid w:val="5A023A34"/>
    <w:rsid w:val="5A0F52D4"/>
    <w:rsid w:val="5A1A17BB"/>
    <w:rsid w:val="5A297D0D"/>
    <w:rsid w:val="5A3C0F08"/>
    <w:rsid w:val="5A3E5B83"/>
    <w:rsid w:val="5A4440A8"/>
    <w:rsid w:val="5A4B5B7A"/>
    <w:rsid w:val="5A5663A3"/>
    <w:rsid w:val="5A571746"/>
    <w:rsid w:val="5A6253E3"/>
    <w:rsid w:val="5A6667DB"/>
    <w:rsid w:val="5A8E6670"/>
    <w:rsid w:val="5A912613"/>
    <w:rsid w:val="5A923F1B"/>
    <w:rsid w:val="5A9245E9"/>
    <w:rsid w:val="5A953D41"/>
    <w:rsid w:val="5A9A4D4B"/>
    <w:rsid w:val="5A9B495D"/>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B141085"/>
    <w:rsid w:val="5B28192B"/>
    <w:rsid w:val="5B32616A"/>
    <w:rsid w:val="5B342BAD"/>
    <w:rsid w:val="5B4007EF"/>
    <w:rsid w:val="5B495A92"/>
    <w:rsid w:val="5B4D1F7C"/>
    <w:rsid w:val="5B564EFB"/>
    <w:rsid w:val="5B583BEB"/>
    <w:rsid w:val="5B6667A3"/>
    <w:rsid w:val="5B66707B"/>
    <w:rsid w:val="5B673066"/>
    <w:rsid w:val="5B690719"/>
    <w:rsid w:val="5B6A48A8"/>
    <w:rsid w:val="5B6B40B1"/>
    <w:rsid w:val="5B731FA9"/>
    <w:rsid w:val="5B785E83"/>
    <w:rsid w:val="5B7C1CD1"/>
    <w:rsid w:val="5B882E2D"/>
    <w:rsid w:val="5B9004A9"/>
    <w:rsid w:val="5B907C6C"/>
    <w:rsid w:val="5B9251EF"/>
    <w:rsid w:val="5BAB5BC4"/>
    <w:rsid w:val="5BB20B74"/>
    <w:rsid w:val="5BC677D8"/>
    <w:rsid w:val="5BC82981"/>
    <w:rsid w:val="5BE15701"/>
    <w:rsid w:val="5BE6235A"/>
    <w:rsid w:val="5BEB0120"/>
    <w:rsid w:val="5BEC175C"/>
    <w:rsid w:val="5C097C4E"/>
    <w:rsid w:val="5C0D717D"/>
    <w:rsid w:val="5C1A3A93"/>
    <w:rsid w:val="5C1C16CF"/>
    <w:rsid w:val="5C235386"/>
    <w:rsid w:val="5C277EFF"/>
    <w:rsid w:val="5C3A76D7"/>
    <w:rsid w:val="5C3B6CFC"/>
    <w:rsid w:val="5C3C1AE5"/>
    <w:rsid w:val="5C4A34F9"/>
    <w:rsid w:val="5C4C2CF4"/>
    <w:rsid w:val="5C5A7F10"/>
    <w:rsid w:val="5C6422CD"/>
    <w:rsid w:val="5C6B1600"/>
    <w:rsid w:val="5C7D70D1"/>
    <w:rsid w:val="5C8542A8"/>
    <w:rsid w:val="5C9F41E0"/>
    <w:rsid w:val="5CA6294E"/>
    <w:rsid w:val="5CA92DD2"/>
    <w:rsid w:val="5CAC6214"/>
    <w:rsid w:val="5CAF2FDA"/>
    <w:rsid w:val="5CBA57B4"/>
    <w:rsid w:val="5CDB241D"/>
    <w:rsid w:val="5CDB3358"/>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8584C"/>
    <w:rsid w:val="5D2F4802"/>
    <w:rsid w:val="5D3444E6"/>
    <w:rsid w:val="5D3F0BDF"/>
    <w:rsid w:val="5D4A529A"/>
    <w:rsid w:val="5D5B7098"/>
    <w:rsid w:val="5D634782"/>
    <w:rsid w:val="5D654194"/>
    <w:rsid w:val="5D676A87"/>
    <w:rsid w:val="5D6A7C12"/>
    <w:rsid w:val="5D6E1B86"/>
    <w:rsid w:val="5D725A84"/>
    <w:rsid w:val="5D767D63"/>
    <w:rsid w:val="5D787085"/>
    <w:rsid w:val="5D8A2CFF"/>
    <w:rsid w:val="5D903810"/>
    <w:rsid w:val="5D926D13"/>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D4A67"/>
    <w:rsid w:val="5E1F2E4C"/>
    <w:rsid w:val="5E237029"/>
    <w:rsid w:val="5E3A3BD1"/>
    <w:rsid w:val="5E40628A"/>
    <w:rsid w:val="5E4F1C2F"/>
    <w:rsid w:val="5E5203B8"/>
    <w:rsid w:val="5E5D7D0E"/>
    <w:rsid w:val="5E64345A"/>
    <w:rsid w:val="5E670AC9"/>
    <w:rsid w:val="5E6A5399"/>
    <w:rsid w:val="5E704921"/>
    <w:rsid w:val="5E71373F"/>
    <w:rsid w:val="5E717191"/>
    <w:rsid w:val="5E761147"/>
    <w:rsid w:val="5E812F0A"/>
    <w:rsid w:val="5E830708"/>
    <w:rsid w:val="5E831398"/>
    <w:rsid w:val="5E85633A"/>
    <w:rsid w:val="5E921A45"/>
    <w:rsid w:val="5E975993"/>
    <w:rsid w:val="5EA627AF"/>
    <w:rsid w:val="5EB07A41"/>
    <w:rsid w:val="5EB51FDE"/>
    <w:rsid w:val="5EB826AC"/>
    <w:rsid w:val="5EBA4472"/>
    <w:rsid w:val="5EC3227D"/>
    <w:rsid w:val="5ECA3D37"/>
    <w:rsid w:val="5EE153F8"/>
    <w:rsid w:val="5EED7893"/>
    <w:rsid w:val="5EFB2125"/>
    <w:rsid w:val="5EFB6F0A"/>
    <w:rsid w:val="5F0279C4"/>
    <w:rsid w:val="5F043765"/>
    <w:rsid w:val="5F0A3A61"/>
    <w:rsid w:val="5F1E1D1D"/>
    <w:rsid w:val="5F28007C"/>
    <w:rsid w:val="5F3370DF"/>
    <w:rsid w:val="5F351942"/>
    <w:rsid w:val="5F395DFE"/>
    <w:rsid w:val="5F3B6ED3"/>
    <w:rsid w:val="5F45020C"/>
    <w:rsid w:val="5F495527"/>
    <w:rsid w:val="5F5D4AA6"/>
    <w:rsid w:val="5F683B6E"/>
    <w:rsid w:val="5F875C0C"/>
    <w:rsid w:val="5F8F0B9E"/>
    <w:rsid w:val="5F8F267A"/>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83392"/>
    <w:rsid w:val="601A4CB1"/>
    <w:rsid w:val="601B56CB"/>
    <w:rsid w:val="602C236D"/>
    <w:rsid w:val="603514E5"/>
    <w:rsid w:val="603967D7"/>
    <w:rsid w:val="603D3325"/>
    <w:rsid w:val="604040A8"/>
    <w:rsid w:val="60443CFE"/>
    <w:rsid w:val="60470CE3"/>
    <w:rsid w:val="604743E7"/>
    <w:rsid w:val="6057218F"/>
    <w:rsid w:val="605F4F5D"/>
    <w:rsid w:val="606711B4"/>
    <w:rsid w:val="60673C40"/>
    <w:rsid w:val="606A52D4"/>
    <w:rsid w:val="607C3753"/>
    <w:rsid w:val="60895CED"/>
    <w:rsid w:val="608A554D"/>
    <w:rsid w:val="608D1D4E"/>
    <w:rsid w:val="608D7975"/>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E06DEB"/>
    <w:rsid w:val="60E51841"/>
    <w:rsid w:val="60E7738A"/>
    <w:rsid w:val="60F90C00"/>
    <w:rsid w:val="61110088"/>
    <w:rsid w:val="6121108E"/>
    <w:rsid w:val="61421EFD"/>
    <w:rsid w:val="61457124"/>
    <w:rsid w:val="61507CAF"/>
    <w:rsid w:val="615C5041"/>
    <w:rsid w:val="61631B5D"/>
    <w:rsid w:val="617874FC"/>
    <w:rsid w:val="617A6EE7"/>
    <w:rsid w:val="617E7C88"/>
    <w:rsid w:val="6182260C"/>
    <w:rsid w:val="61996169"/>
    <w:rsid w:val="619B60ED"/>
    <w:rsid w:val="61A773BF"/>
    <w:rsid w:val="61AD68BC"/>
    <w:rsid w:val="61AE5BE1"/>
    <w:rsid w:val="61B173D2"/>
    <w:rsid w:val="61D43510"/>
    <w:rsid w:val="61D43A2B"/>
    <w:rsid w:val="61E34474"/>
    <w:rsid w:val="61FF316E"/>
    <w:rsid w:val="621542CB"/>
    <w:rsid w:val="62172EDA"/>
    <w:rsid w:val="62363666"/>
    <w:rsid w:val="623E513D"/>
    <w:rsid w:val="623F0B7F"/>
    <w:rsid w:val="624263A2"/>
    <w:rsid w:val="625272C3"/>
    <w:rsid w:val="6260007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F05276"/>
    <w:rsid w:val="62F6011A"/>
    <w:rsid w:val="62FD2BA9"/>
    <w:rsid w:val="630C6A8F"/>
    <w:rsid w:val="6327422B"/>
    <w:rsid w:val="6328597C"/>
    <w:rsid w:val="632F2F8E"/>
    <w:rsid w:val="63314C2A"/>
    <w:rsid w:val="633B249F"/>
    <w:rsid w:val="63552D76"/>
    <w:rsid w:val="6359778B"/>
    <w:rsid w:val="635B63E3"/>
    <w:rsid w:val="63654417"/>
    <w:rsid w:val="636A48AB"/>
    <w:rsid w:val="638C3395"/>
    <w:rsid w:val="63927E66"/>
    <w:rsid w:val="639C2AFB"/>
    <w:rsid w:val="63A163DD"/>
    <w:rsid w:val="63B82D87"/>
    <w:rsid w:val="63BA3154"/>
    <w:rsid w:val="63C948C4"/>
    <w:rsid w:val="63CA2E8B"/>
    <w:rsid w:val="63D4153E"/>
    <w:rsid w:val="63DC7755"/>
    <w:rsid w:val="63E05970"/>
    <w:rsid w:val="63E43D21"/>
    <w:rsid w:val="63E97377"/>
    <w:rsid w:val="63EA4DF9"/>
    <w:rsid w:val="63F47D2A"/>
    <w:rsid w:val="63FE2D33"/>
    <w:rsid w:val="64046427"/>
    <w:rsid w:val="641461CF"/>
    <w:rsid w:val="641A3F4C"/>
    <w:rsid w:val="64202F9E"/>
    <w:rsid w:val="64264A79"/>
    <w:rsid w:val="64290161"/>
    <w:rsid w:val="642D0D23"/>
    <w:rsid w:val="64304E58"/>
    <w:rsid w:val="64311867"/>
    <w:rsid w:val="64391ED3"/>
    <w:rsid w:val="64426B0C"/>
    <w:rsid w:val="6445632E"/>
    <w:rsid w:val="644D3D02"/>
    <w:rsid w:val="645C7EA7"/>
    <w:rsid w:val="64742B63"/>
    <w:rsid w:val="647E661E"/>
    <w:rsid w:val="648939AA"/>
    <w:rsid w:val="64897A59"/>
    <w:rsid w:val="648C635C"/>
    <w:rsid w:val="64927F4F"/>
    <w:rsid w:val="649B1AC2"/>
    <w:rsid w:val="64A7467B"/>
    <w:rsid w:val="64B53322"/>
    <w:rsid w:val="64C61AF8"/>
    <w:rsid w:val="64C70058"/>
    <w:rsid w:val="64C86505"/>
    <w:rsid w:val="64EC5D31"/>
    <w:rsid w:val="64F132B2"/>
    <w:rsid w:val="64FE700F"/>
    <w:rsid w:val="6500327F"/>
    <w:rsid w:val="6506609B"/>
    <w:rsid w:val="65083216"/>
    <w:rsid w:val="6508621E"/>
    <w:rsid w:val="65092761"/>
    <w:rsid w:val="651E3B1A"/>
    <w:rsid w:val="653300A4"/>
    <w:rsid w:val="65460728"/>
    <w:rsid w:val="655A04C2"/>
    <w:rsid w:val="65741425"/>
    <w:rsid w:val="65787DED"/>
    <w:rsid w:val="65805F51"/>
    <w:rsid w:val="65822810"/>
    <w:rsid w:val="65870C45"/>
    <w:rsid w:val="65961885"/>
    <w:rsid w:val="659705FF"/>
    <w:rsid w:val="65A5156E"/>
    <w:rsid w:val="65A671FC"/>
    <w:rsid w:val="65AA6346"/>
    <w:rsid w:val="65B07458"/>
    <w:rsid w:val="65B51269"/>
    <w:rsid w:val="65B56C47"/>
    <w:rsid w:val="65B8262E"/>
    <w:rsid w:val="65BC15EE"/>
    <w:rsid w:val="65D21E90"/>
    <w:rsid w:val="65D23D59"/>
    <w:rsid w:val="65D4773F"/>
    <w:rsid w:val="65D83403"/>
    <w:rsid w:val="65DC5939"/>
    <w:rsid w:val="65DC7985"/>
    <w:rsid w:val="65E671BD"/>
    <w:rsid w:val="65F14641"/>
    <w:rsid w:val="65F22E66"/>
    <w:rsid w:val="65F5655C"/>
    <w:rsid w:val="65F64F18"/>
    <w:rsid w:val="66052F43"/>
    <w:rsid w:val="6609487E"/>
    <w:rsid w:val="66143184"/>
    <w:rsid w:val="661D25CE"/>
    <w:rsid w:val="66206CF2"/>
    <w:rsid w:val="66244029"/>
    <w:rsid w:val="66265846"/>
    <w:rsid w:val="66287C9C"/>
    <w:rsid w:val="662D4566"/>
    <w:rsid w:val="662E4097"/>
    <w:rsid w:val="664470E3"/>
    <w:rsid w:val="66475F5D"/>
    <w:rsid w:val="664805B8"/>
    <w:rsid w:val="665572E9"/>
    <w:rsid w:val="665A078F"/>
    <w:rsid w:val="665B55EA"/>
    <w:rsid w:val="66641D58"/>
    <w:rsid w:val="66655F85"/>
    <w:rsid w:val="667C7AEC"/>
    <w:rsid w:val="66847466"/>
    <w:rsid w:val="66863A0F"/>
    <w:rsid w:val="668D465E"/>
    <w:rsid w:val="66984358"/>
    <w:rsid w:val="669903D3"/>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21093A"/>
    <w:rsid w:val="672514BE"/>
    <w:rsid w:val="67302DC3"/>
    <w:rsid w:val="673762BE"/>
    <w:rsid w:val="674318B2"/>
    <w:rsid w:val="674D4B22"/>
    <w:rsid w:val="67570422"/>
    <w:rsid w:val="675D31B4"/>
    <w:rsid w:val="675D63FF"/>
    <w:rsid w:val="676B3A19"/>
    <w:rsid w:val="676D2F4B"/>
    <w:rsid w:val="677A266A"/>
    <w:rsid w:val="677C1A81"/>
    <w:rsid w:val="677E7198"/>
    <w:rsid w:val="67871AEB"/>
    <w:rsid w:val="678A426A"/>
    <w:rsid w:val="67914BE1"/>
    <w:rsid w:val="67984863"/>
    <w:rsid w:val="67A01F16"/>
    <w:rsid w:val="67B163D1"/>
    <w:rsid w:val="67CA69AB"/>
    <w:rsid w:val="67EF299C"/>
    <w:rsid w:val="67F45538"/>
    <w:rsid w:val="67F66B9D"/>
    <w:rsid w:val="680239EB"/>
    <w:rsid w:val="680722DA"/>
    <w:rsid w:val="6809309C"/>
    <w:rsid w:val="68120E37"/>
    <w:rsid w:val="681306CB"/>
    <w:rsid w:val="682211D1"/>
    <w:rsid w:val="684B40A8"/>
    <w:rsid w:val="685B4737"/>
    <w:rsid w:val="685C6395"/>
    <w:rsid w:val="686318DD"/>
    <w:rsid w:val="68635145"/>
    <w:rsid w:val="687F607E"/>
    <w:rsid w:val="688C4213"/>
    <w:rsid w:val="688D4D1E"/>
    <w:rsid w:val="68916B30"/>
    <w:rsid w:val="68950378"/>
    <w:rsid w:val="68984999"/>
    <w:rsid w:val="689A41FB"/>
    <w:rsid w:val="689C2BAE"/>
    <w:rsid w:val="689E57F0"/>
    <w:rsid w:val="68A34C5C"/>
    <w:rsid w:val="68B44788"/>
    <w:rsid w:val="68B96277"/>
    <w:rsid w:val="68C66268"/>
    <w:rsid w:val="68C8327F"/>
    <w:rsid w:val="68DF0626"/>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5442"/>
    <w:rsid w:val="698C13C5"/>
    <w:rsid w:val="69BC3ADF"/>
    <w:rsid w:val="69D306AC"/>
    <w:rsid w:val="69D34F66"/>
    <w:rsid w:val="69E00E47"/>
    <w:rsid w:val="69EC1B4D"/>
    <w:rsid w:val="69EC6D9F"/>
    <w:rsid w:val="69F0745A"/>
    <w:rsid w:val="69F66961"/>
    <w:rsid w:val="6A0961EA"/>
    <w:rsid w:val="6A0D20F2"/>
    <w:rsid w:val="6A1742A1"/>
    <w:rsid w:val="6A1C4CE3"/>
    <w:rsid w:val="6A1D59EC"/>
    <w:rsid w:val="6A2353D4"/>
    <w:rsid w:val="6A247F72"/>
    <w:rsid w:val="6A3E2393"/>
    <w:rsid w:val="6A435B92"/>
    <w:rsid w:val="6A444DB8"/>
    <w:rsid w:val="6A4D4828"/>
    <w:rsid w:val="6A4D6D96"/>
    <w:rsid w:val="6A516AC3"/>
    <w:rsid w:val="6A5303BA"/>
    <w:rsid w:val="6A5F3F1C"/>
    <w:rsid w:val="6A677080"/>
    <w:rsid w:val="6A6C5C1E"/>
    <w:rsid w:val="6A711183"/>
    <w:rsid w:val="6A7468D5"/>
    <w:rsid w:val="6A790E3A"/>
    <w:rsid w:val="6A7B4B9C"/>
    <w:rsid w:val="6A84768F"/>
    <w:rsid w:val="6A917541"/>
    <w:rsid w:val="6A9C00F5"/>
    <w:rsid w:val="6AA35330"/>
    <w:rsid w:val="6AAC0B91"/>
    <w:rsid w:val="6AAF014C"/>
    <w:rsid w:val="6AC07690"/>
    <w:rsid w:val="6ACB082B"/>
    <w:rsid w:val="6AD3247E"/>
    <w:rsid w:val="6AD716BA"/>
    <w:rsid w:val="6AE21187"/>
    <w:rsid w:val="6AE4699C"/>
    <w:rsid w:val="6AF124EA"/>
    <w:rsid w:val="6AF317C6"/>
    <w:rsid w:val="6AF64D9A"/>
    <w:rsid w:val="6B09696B"/>
    <w:rsid w:val="6B1235B7"/>
    <w:rsid w:val="6B127D23"/>
    <w:rsid w:val="6B2167BD"/>
    <w:rsid w:val="6B2B0EFD"/>
    <w:rsid w:val="6B2C13E4"/>
    <w:rsid w:val="6B2D2EEB"/>
    <w:rsid w:val="6B346460"/>
    <w:rsid w:val="6B373CEA"/>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961E42"/>
    <w:rsid w:val="6BA6663C"/>
    <w:rsid w:val="6BA9194F"/>
    <w:rsid w:val="6BB81A6C"/>
    <w:rsid w:val="6BE51CE3"/>
    <w:rsid w:val="6BE622E5"/>
    <w:rsid w:val="6BE727F5"/>
    <w:rsid w:val="6C0858B3"/>
    <w:rsid w:val="6C1134DA"/>
    <w:rsid w:val="6C240DF3"/>
    <w:rsid w:val="6C41527C"/>
    <w:rsid w:val="6C45610F"/>
    <w:rsid w:val="6C550EC6"/>
    <w:rsid w:val="6C59472D"/>
    <w:rsid w:val="6C5A4564"/>
    <w:rsid w:val="6C5E0510"/>
    <w:rsid w:val="6C603744"/>
    <w:rsid w:val="6C610784"/>
    <w:rsid w:val="6C637CCF"/>
    <w:rsid w:val="6C6A15BA"/>
    <w:rsid w:val="6C731C6C"/>
    <w:rsid w:val="6C733992"/>
    <w:rsid w:val="6C7802EB"/>
    <w:rsid w:val="6C89456C"/>
    <w:rsid w:val="6C9611B5"/>
    <w:rsid w:val="6CA20D5B"/>
    <w:rsid w:val="6CB71894"/>
    <w:rsid w:val="6CBB58FB"/>
    <w:rsid w:val="6CD431E3"/>
    <w:rsid w:val="6CD50C99"/>
    <w:rsid w:val="6CD63FB3"/>
    <w:rsid w:val="6CDC3EA7"/>
    <w:rsid w:val="6CDD06CC"/>
    <w:rsid w:val="6CDF2E4F"/>
    <w:rsid w:val="6CFE035F"/>
    <w:rsid w:val="6CFF5623"/>
    <w:rsid w:val="6D056EA6"/>
    <w:rsid w:val="6D13119B"/>
    <w:rsid w:val="6D1766A9"/>
    <w:rsid w:val="6D221E52"/>
    <w:rsid w:val="6D227835"/>
    <w:rsid w:val="6D2663D9"/>
    <w:rsid w:val="6D2834C8"/>
    <w:rsid w:val="6D2F1F0B"/>
    <w:rsid w:val="6D3C6626"/>
    <w:rsid w:val="6D3E495C"/>
    <w:rsid w:val="6D456747"/>
    <w:rsid w:val="6D5D0DB5"/>
    <w:rsid w:val="6D6855B1"/>
    <w:rsid w:val="6D7B4AB7"/>
    <w:rsid w:val="6D836C02"/>
    <w:rsid w:val="6D874AC3"/>
    <w:rsid w:val="6D89784B"/>
    <w:rsid w:val="6D9057BE"/>
    <w:rsid w:val="6D9E0566"/>
    <w:rsid w:val="6DB10625"/>
    <w:rsid w:val="6DBE7F27"/>
    <w:rsid w:val="6DCF21B6"/>
    <w:rsid w:val="6DD13295"/>
    <w:rsid w:val="6DDC5249"/>
    <w:rsid w:val="6DF43BD4"/>
    <w:rsid w:val="6E0E1FAB"/>
    <w:rsid w:val="6E1D22B5"/>
    <w:rsid w:val="6E2143FB"/>
    <w:rsid w:val="6E2241BE"/>
    <w:rsid w:val="6E235490"/>
    <w:rsid w:val="6E317378"/>
    <w:rsid w:val="6E35795C"/>
    <w:rsid w:val="6E374904"/>
    <w:rsid w:val="6E3C077F"/>
    <w:rsid w:val="6E3E5591"/>
    <w:rsid w:val="6E4215C6"/>
    <w:rsid w:val="6E437F7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15C20"/>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15C8"/>
    <w:rsid w:val="6F5F4FCB"/>
    <w:rsid w:val="6F6F14E1"/>
    <w:rsid w:val="6F86160F"/>
    <w:rsid w:val="6F884D8A"/>
    <w:rsid w:val="6F89712B"/>
    <w:rsid w:val="6F983C13"/>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0429F"/>
    <w:rsid w:val="7032079E"/>
    <w:rsid w:val="70375C5A"/>
    <w:rsid w:val="703947D7"/>
    <w:rsid w:val="703C186A"/>
    <w:rsid w:val="70570007"/>
    <w:rsid w:val="705843B4"/>
    <w:rsid w:val="706417AF"/>
    <w:rsid w:val="70655A58"/>
    <w:rsid w:val="707263E0"/>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71463"/>
    <w:rsid w:val="70E936CD"/>
    <w:rsid w:val="70EE2F9A"/>
    <w:rsid w:val="70FA6D60"/>
    <w:rsid w:val="70FC2D1E"/>
    <w:rsid w:val="71015D6B"/>
    <w:rsid w:val="71115386"/>
    <w:rsid w:val="71151975"/>
    <w:rsid w:val="71220857"/>
    <w:rsid w:val="71222C53"/>
    <w:rsid w:val="71336A65"/>
    <w:rsid w:val="71477682"/>
    <w:rsid w:val="71545B37"/>
    <w:rsid w:val="71570E43"/>
    <w:rsid w:val="71573E01"/>
    <w:rsid w:val="71702748"/>
    <w:rsid w:val="71862E8D"/>
    <w:rsid w:val="71867894"/>
    <w:rsid w:val="718B0CD8"/>
    <w:rsid w:val="719F7A78"/>
    <w:rsid w:val="71A73EB4"/>
    <w:rsid w:val="71B25E63"/>
    <w:rsid w:val="71B30ACA"/>
    <w:rsid w:val="71B623F6"/>
    <w:rsid w:val="71C7540C"/>
    <w:rsid w:val="71E41366"/>
    <w:rsid w:val="71ED2496"/>
    <w:rsid w:val="71F14FC5"/>
    <w:rsid w:val="71F64A63"/>
    <w:rsid w:val="71F870B8"/>
    <w:rsid w:val="7200001E"/>
    <w:rsid w:val="72021233"/>
    <w:rsid w:val="720B2A1D"/>
    <w:rsid w:val="72147937"/>
    <w:rsid w:val="7217235D"/>
    <w:rsid w:val="72175F5D"/>
    <w:rsid w:val="72346B55"/>
    <w:rsid w:val="723959DC"/>
    <w:rsid w:val="723E7E80"/>
    <w:rsid w:val="724B5FB3"/>
    <w:rsid w:val="724C3314"/>
    <w:rsid w:val="72502F9F"/>
    <w:rsid w:val="72514753"/>
    <w:rsid w:val="72524B90"/>
    <w:rsid w:val="725817D3"/>
    <w:rsid w:val="725B3685"/>
    <w:rsid w:val="726E6AD4"/>
    <w:rsid w:val="727C422C"/>
    <w:rsid w:val="727C7861"/>
    <w:rsid w:val="727D5DD0"/>
    <w:rsid w:val="728E71EE"/>
    <w:rsid w:val="7292045A"/>
    <w:rsid w:val="72974DBE"/>
    <w:rsid w:val="72A20C20"/>
    <w:rsid w:val="72AC5E95"/>
    <w:rsid w:val="72B104F9"/>
    <w:rsid w:val="72B81A8A"/>
    <w:rsid w:val="72BD018D"/>
    <w:rsid w:val="72C13ED7"/>
    <w:rsid w:val="72C33F7A"/>
    <w:rsid w:val="72CF1AC7"/>
    <w:rsid w:val="72D61814"/>
    <w:rsid w:val="72E42AFA"/>
    <w:rsid w:val="72E85578"/>
    <w:rsid w:val="72EB4466"/>
    <w:rsid w:val="72F034F4"/>
    <w:rsid w:val="72FD426E"/>
    <w:rsid w:val="73005DAB"/>
    <w:rsid w:val="730162BB"/>
    <w:rsid w:val="730275C0"/>
    <w:rsid w:val="73043CFC"/>
    <w:rsid w:val="731A0595"/>
    <w:rsid w:val="732B736C"/>
    <w:rsid w:val="732C334F"/>
    <w:rsid w:val="73303587"/>
    <w:rsid w:val="734F0C79"/>
    <w:rsid w:val="734F4185"/>
    <w:rsid w:val="73520620"/>
    <w:rsid w:val="7363274A"/>
    <w:rsid w:val="736462D9"/>
    <w:rsid w:val="73691A4A"/>
    <w:rsid w:val="737025EA"/>
    <w:rsid w:val="7371152B"/>
    <w:rsid w:val="73736DAC"/>
    <w:rsid w:val="73777B4D"/>
    <w:rsid w:val="737D6CF9"/>
    <w:rsid w:val="7383627D"/>
    <w:rsid w:val="73856458"/>
    <w:rsid w:val="738A6895"/>
    <w:rsid w:val="73917325"/>
    <w:rsid w:val="7395427D"/>
    <w:rsid w:val="739F1660"/>
    <w:rsid w:val="73B047C3"/>
    <w:rsid w:val="73B62302"/>
    <w:rsid w:val="73BC7089"/>
    <w:rsid w:val="73BE7067"/>
    <w:rsid w:val="73C34124"/>
    <w:rsid w:val="73DC33F5"/>
    <w:rsid w:val="73E406FD"/>
    <w:rsid w:val="73E52294"/>
    <w:rsid w:val="73EC5464"/>
    <w:rsid w:val="73FF2D64"/>
    <w:rsid w:val="740F108B"/>
    <w:rsid w:val="74137154"/>
    <w:rsid w:val="741C7D0C"/>
    <w:rsid w:val="741F2652"/>
    <w:rsid w:val="7421310D"/>
    <w:rsid w:val="74257F79"/>
    <w:rsid w:val="74273820"/>
    <w:rsid w:val="7427471C"/>
    <w:rsid w:val="74330EFD"/>
    <w:rsid w:val="74355B0B"/>
    <w:rsid w:val="743C7157"/>
    <w:rsid w:val="74416F54"/>
    <w:rsid w:val="744B354F"/>
    <w:rsid w:val="7450294E"/>
    <w:rsid w:val="74543139"/>
    <w:rsid w:val="746651C8"/>
    <w:rsid w:val="7467234B"/>
    <w:rsid w:val="746B732F"/>
    <w:rsid w:val="746E18CB"/>
    <w:rsid w:val="746F3904"/>
    <w:rsid w:val="7473071B"/>
    <w:rsid w:val="748D52FA"/>
    <w:rsid w:val="748D6EB4"/>
    <w:rsid w:val="74993216"/>
    <w:rsid w:val="749C4933"/>
    <w:rsid w:val="74A122CC"/>
    <w:rsid w:val="74B44784"/>
    <w:rsid w:val="74B808BF"/>
    <w:rsid w:val="74C03187"/>
    <w:rsid w:val="74C06691"/>
    <w:rsid w:val="74D4082F"/>
    <w:rsid w:val="74DE6B05"/>
    <w:rsid w:val="74E4756E"/>
    <w:rsid w:val="74E86DF6"/>
    <w:rsid w:val="74EB43B2"/>
    <w:rsid w:val="74ED19FF"/>
    <w:rsid w:val="74F747A8"/>
    <w:rsid w:val="75084E8F"/>
    <w:rsid w:val="7509261E"/>
    <w:rsid w:val="750B5416"/>
    <w:rsid w:val="750F16AB"/>
    <w:rsid w:val="75202656"/>
    <w:rsid w:val="752231CE"/>
    <w:rsid w:val="7537255A"/>
    <w:rsid w:val="75396D51"/>
    <w:rsid w:val="75434B0A"/>
    <w:rsid w:val="755756D1"/>
    <w:rsid w:val="75581C92"/>
    <w:rsid w:val="75752B04"/>
    <w:rsid w:val="757D3665"/>
    <w:rsid w:val="758910BB"/>
    <w:rsid w:val="75955DA9"/>
    <w:rsid w:val="75977910"/>
    <w:rsid w:val="759C00A8"/>
    <w:rsid w:val="759F2A35"/>
    <w:rsid w:val="75B15C41"/>
    <w:rsid w:val="75CC5191"/>
    <w:rsid w:val="75D12923"/>
    <w:rsid w:val="75E6623C"/>
    <w:rsid w:val="75EA364B"/>
    <w:rsid w:val="75F20996"/>
    <w:rsid w:val="75F93477"/>
    <w:rsid w:val="75F96973"/>
    <w:rsid w:val="75FE5FB4"/>
    <w:rsid w:val="76123E1D"/>
    <w:rsid w:val="761270F3"/>
    <w:rsid w:val="762A17C0"/>
    <w:rsid w:val="762E4274"/>
    <w:rsid w:val="762E6798"/>
    <w:rsid w:val="76387379"/>
    <w:rsid w:val="76425118"/>
    <w:rsid w:val="76473B19"/>
    <w:rsid w:val="7647727C"/>
    <w:rsid w:val="764838B9"/>
    <w:rsid w:val="764B15DA"/>
    <w:rsid w:val="764C09B4"/>
    <w:rsid w:val="764F5A52"/>
    <w:rsid w:val="7651184F"/>
    <w:rsid w:val="765E2788"/>
    <w:rsid w:val="7662102D"/>
    <w:rsid w:val="76647980"/>
    <w:rsid w:val="766827E1"/>
    <w:rsid w:val="766A4A0D"/>
    <w:rsid w:val="76725A45"/>
    <w:rsid w:val="767D1978"/>
    <w:rsid w:val="768C454B"/>
    <w:rsid w:val="76910A96"/>
    <w:rsid w:val="7692667A"/>
    <w:rsid w:val="76982273"/>
    <w:rsid w:val="769A7352"/>
    <w:rsid w:val="76A177B8"/>
    <w:rsid w:val="76A562BA"/>
    <w:rsid w:val="76AD2761"/>
    <w:rsid w:val="76B64E53"/>
    <w:rsid w:val="76B8001A"/>
    <w:rsid w:val="76B81599"/>
    <w:rsid w:val="76BB2F21"/>
    <w:rsid w:val="76BB47BC"/>
    <w:rsid w:val="76BC314A"/>
    <w:rsid w:val="76CF29D3"/>
    <w:rsid w:val="76E422FF"/>
    <w:rsid w:val="76EB7E51"/>
    <w:rsid w:val="76EC51FD"/>
    <w:rsid w:val="76F00AAF"/>
    <w:rsid w:val="76F21658"/>
    <w:rsid w:val="76F410B8"/>
    <w:rsid w:val="76F70779"/>
    <w:rsid w:val="770A1659"/>
    <w:rsid w:val="771B67DF"/>
    <w:rsid w:val="77241319"/>
    <w:rsid w:val="77272CAB"/>
    <w:rsid w:val="772C0FCF"/>
    <w:rsid w:val="77335384"/>
    <w:rsid w:val="77451578"/>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D44398"/>
    <w:rsid w:val="77D967A7"/>
    <w:rsid w:val="77DE5E93"/>
    <w:rsid w:val="77E66E3C"/>
    <w:rsid w:val="77F3789A"/>
    <w:rsid w:val="780326B9"/>
    <w:rsid w:val="780332E5"/>
    <w:rsid w:val="78077B5A"/>
    <w:rsid w:val="782127F0"/>
    <w:rsid w:val="78271E5B"/>
    <w:rsid w:val="783201C2"/>
    <w:rsid w:val="7833711D"/>
    <w:rsid w:val="78460D63"/>
    <w:rsid w:val="78497C2E"/>
    <w:rsid w:val="78502D35"/>
    <w:rsid w:val="785051F3"/>
    <w:rsid w:val="7854087B"/>
    <w:rsid w:val="786A4053"/>
    <w:rsid w:val="78782A0D"/>
    <w:rsid w:val="78785A2F"/>
    <w:rsid w:val="787B5060"/>
    <w:rsid w:val="787E0EB9"/>
    <w:rsid w:val="788720E7"/>
    <w:rsid w:val="789B58CF"/>
    <w:rsid w:val="78A90B04"/>
    <w:rsid w:val="78AE4507"/>
    <w:rsid w:val="78C26D70"/>
    <w:rsid w:val="78C53485"/>
    <w:rsid w:val="78C6693F"/>
    <w:rsid w:val="78C76A01"/>
    <w:rsid w:val="78D508BC"/>
    <w:rsid w:val="78D6764B"/>
    <w:rsid w:val="78DF3BEC"/>
    <w:rsid w:val="78EC45D8"/>
    <w:rsid w:val="78EC6DF0"/>
    <w:rsid w:val="78F5335B"/>
    <w:rsid w:val="78F77CA2"/>
    <w:rsid w:val="790E39D2"/>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4574A"/>
    <w:rsid w:val="796D45D2"/>
    <w:rsid w:val="79804706"/>
    <w:rsid w:val="79807AE3"/>
    <w:rsid w:val="7988227D"/>
    <w:rsid w:val="79941CF2"/>
    <w:rsid w:val="79973382"/>
    <w:rsid w:val="79B03E5E"/>
    <w:rsid w:val="79B4353E"/>
    <w:rsid w:val="79BB4445"/>
    <w:rsid w:val="79D33056"/>
    <w:rsid w:val="79D715DF"/>
    <w:rsid w:val="79E14685"/>
    <w:rsid w:val="79EC0256"/>
    <w:rsid w:val="79F60153"/>
    <w:rsid w:val="79F84570"/>
    <w:rsid w:val="79FA77AD"/>
    <w:rsid w:val="79FB6E2C"/>
    <w:rsid w:val="7A0E2780"/>
    <w:rsid w:val="7A29263F"/>
    <w:rsid w:val="7A36322F"/>
    <w:rsid w:val="7A4B21AB"/>
    <w:rsid w:val="7A4C2D60"/>
    <w:rsid w:val="7A4E5365"/>
    <w:rsid w:val="7A5C5095"/>
    <w:rsid w:val="7A5E0869"/>
    <w:rsid w:val="7A620F06"/>
    <w:rsid w:val="7A6E4BF5"/>
    <w:rsid w:val="7A78261A"/>
    <w:rsid w:val="7A851D5D"/>
    <w:rsid w:val="7A8A2267"/>
    <w:rsid w:val="7AA5314C"/>
    <w:rsid w:val="7AAF50F0"/>
    <w:rsid w:val="7AB53126"/>
    <w:rsid w:val="7AB76FE8"/>
    <w:rsid w:val="7AC06271"/>
    <w:rsid w:val="7AC73DFD"/>
    <w:rsid w:val="7AD268E2"/>
    <w:rsid w:val="7ADC0B33"/>
    <w:rsid w:val="7ADF72B5"/>
    <w:rsid w:val="7AE14C19"/>
    <w:rsid w:val="7AEA174E"/>
    <w:rsid w:val="7AF1626C"/>
    <w:rsid w:val="7B231500"/>
    <w:rsid w:val="7B274176"/>
    <w:rsid w:val="7B276F1B"/>
    <w:rsid w:val="7B306163"/>
    <w:rsid w:val="7B31652B"/>
    <w:rsid w:val="7B3E17AA"/>
    <w:rsid w:val="7B401C79"/>
    <w:rsid w:val="7B440ED6"/>
    <w:rsid w:val="7B4678D7"/>
    <w:rsid w:val="7B4B2A93"/>
    <w:rsid w:val="7B527515"/>
    <w:rsid w:val="7B581154"/>
    <w:rsid w:val="7B5A589C"/>
    <w:rsid w:val="7B890A24"/>
    <w:rsid w:val="7B8940DC"/>
    <w:rsid w:val="7B8A4A8A"/>
    <w:rsid w:val="7B99266D"/>
    <w:rsid w:val="7BA54136"/>
    <w:rsid w:val="7BAA485C"/>
    <w:rsid w:val="7BAD1591"/>
    <w:rsid w:val="7BC04B6A"/>
    <w:rsid w:val="7BCD64C2"/>
    <w:rsid w:val="7BD100FC"/>
    <w:rsid w:val="7BD3716B"/>
    <w:rsid w:val="7BEC2711"/>
    <w:rsid w:val="7BF55850"/>
    <w:rsid w:val="7C1054B7"/>
    <w:rsid w:val="7C26369C"/>
    <w:rsid w:val="7C2A465C"/>
    <w:rsid w:val="7C305879"/>
    <w:rsid w:val="7C34521A"/>
    <w:rsid w:val="7C4A2BD1"/>
    <w:rsid w:val="7C516EE4"/>
    <w:rsid w:val="7C576C70"/>
    <w:rsid w:val="7C6E4349"/>
    <w:rsid w:val="7C77043F"/>
    <w:rsid w:val="7C815ED2"/>
    <w:rsid w:val="7C8A7CDC"/>
    <w:rsid w:val="7C9516C4"/>
    <w:rsid w:val="7C9E5A24"/>
    <w:rsid w:val="7C9F7EC8"/>
    <w:rsid w:val="7CB4006B"/>
    <w:rsid w:val="7CB93ABB"/>
    <w:rsid w:val="7CBB6FD3"/>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A1162"/>
    <w:rsid w:val="7D5B27C9"/>
    <w:rsid w:val="7D62117D"/>
    <w:rsid w:val="7D631D92"/>
    <w:rsid w:val="7D6B7F02"/>
    <w:rsid w:val="7D6E73B9"/>
    <w:rsid w:val="7D7D4E70"/>
    <w:rsid w:val="7D834A16"/>
    <w:rsid w:val="7D9D0A97"/>
    <w:rsid w:val="7D9D438F"/>
    <w:rsid w:val="7D9F5025"/>
    <w:rsid w:val="7DA514D2"/>
    <w:rsid w:val="7DA72D07"/>
    <w:rsid w:val="7DA93224"/>
    <w:rsid w:val="7DBE6FBE"/>
    <w:rsid w:val="7DC51C1A"/>
    <w:rsid w:val="7DCD1A27"/>
    <w:rsid w:val="7DCD4739"/>
    <w:rsid w:val="7DCD4EB5"/>
    <w:rsid w:val="7DEC4723"/>
    <w:rsid w:val="7DFD4B87"/>
    <w:rsid w:val="7E090313"/>
    <w:rsid w:val="7E105142"/>
    <w:rsid w:val="7E3E0FEC"/>
    <w:rsid w:val="7E3E1EF2"/>
    <w:rsid w:val="7E566EA2"/>
    <w:rsid w:val="7E5C1ABA"/>
    <w:rsid w:val="7E61281D"/>
    <w:rsid w:val="7E622778"/>
    <w:rsid w:val="7E756346"/>
    <w:rsid w:val="7E85174A"/>
    <w:rsid w:val="7E8B68B9"/>
    <w:rsid w:val="7EAA7C26"/>
    <w:rsid w:val="7EAB69D0"/>
    <w:rsid w:val="7EAF1FAA"/>
    <w:rsid w:val="7EB4653A"/>
    <w:rsid w:val="7EBC7B69"/>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22EBD"/>
    <w:rsid w:val="7F0B5962"/>
    <w:rsid w:val="7F0C2035"/>
    <w:rsid w:val="7F0F7992"/>
    <w:rsid w:val="7F1B0865"/>
    <w:rsid w:val="7F271AA3"/>
    <w:rsid w:val="7F542B37"/>
    <w:rsid w:val="7F6B2248"/>
    <w:rsid w:val="7F7D7A8E"/>
    <w:rsid w:val="7F815141"/>
    <w:rsid w:val="7F872588"/>
    <w:rsid w:val="7F8725BA"/>
    <w:rsid w:val="7F8C6A8F"/>
    <w:rsid w:val="7F9C175D"/>
    <w:rsid w:val="7FA85877"/>
    <w:rsid w:val="7FAB3A81"/>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0</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2024-08-09T06:34:00Z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